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BA8F" w14:textId="0417455C" w:rsidR="00E102E0" w:rsidRDefault="00E102E0" w:rsidP="00E102E0">
      <w:pPr>
        <w:jc w:val="right"/>
        <w:rPr>
          <w:b/>
        </w:rPr>
      </w:pPr>
      <w:r>
        <w:rPr>
          <w:b/>
        </w:rPr>
        <w:t xml:space="preserve">Annex </w:t>
      </w:r>
      <w:r w:rsidR="0088382A">
        <w:rPr>
          <w:b/>
        </w:rPr>
        <w:t>'</w:t>
      </w:r>
      <w:r>
        <w:rPr>
          <w:b/>
        </w:rPr>
        <w:t>A</w:t>
      </w:r>
      <w:r w:rsidR="0088382A">
        <w:rPr>
          <w:b/>
        </w:rPr>
        <w:t>'</w:t>
      </w:r>
      <w:bookmarkStart w:id="0" w:name="_GoBack"/>
      <w:bookmarkEnd w:id="0"/>
    </w:p>
    <w:p w14:paraId="395FDF8F" w14:textId="37DB5394" w:rsidR="00E102E0" w:rsidRDefault="008F305E" w:rsidP="00E102E0">
      <w:pPr>
        <w:rPr>
          <w:b/>
        </w:rPr>
      </w:pPr>
      <w:r>
        <w:rPr>
          <w:b/>
        </w:rPr>
        <w:t>Special</w:t>
      </w:r>
      <w:r w:rsidR="00E102E0">
        <w:rPr>
          <w:b/>
        </w:rPr>
        <w:t xml:space="preserve"> Sub-Committee</w:t>
      </w:r>
    </w:p>
    <w:p w14:paraId="74222C21" w14:textId="3801DBE1" w:rsidR="0052306C" w:rsidRDefault="0052306C" w:rsidP="00E102E0">
      <w:pPr>
        <w:rPr>
          <w:b/>
        </w:rPr>
      </w:pPr>
      <w:r>
        <w:rPr>
          <w:b/>
        </w:rPr>
        <w:t>10 February 2020</w:t>
      </w:r>
    </w:p>
    <w:p w14:paraId="2E104219" w14:textId="77777777" w:rsidR="00E102E0" w:rsidRDefault="00E102E0" w:rsidP="00E102E0"/>
    <w:p w14:paraId="40C4880F" w14:textId="77777777" w:rsidR="00E102E0" w:rsidRPr="00024314" w:rsidRDefault="00E102E0" w:rsidP="00E102E0">
      <w:pPr>
        <w:rPr>
          <w:b/>
          <w:sz w:val="52"/>
          <w:szCs w:val="52"/>
        </w:rPr>
      </w:pPr>
    </w:p>
    <w:p w14:paraId="4EA46C28" w14:textId="77777777" w:rsidR="00E102E0" w:rsidRDefault="00E102E0" w:rsidP="00E102E0">
      <w:pPr>
        <w:rPr>
          <w:szCs w:val="24"/>
        </w:rPr>
      </w:pPr>
    </w:p>
    <w:p w14:paraId="14D62A07" w14:textId="77777777" w:rsidR="00E102E0" w:rsidRDefault="00E102E0" w:rsidP="00E102E0">
      <w:pPr>
        <w:rPr>
          <w:b/>
        </w:rPr>
      </w:pPr>
      <w:r>
        <w:rPr>
          <w:b/>
        </w:rPr>
        <w:t xml:space="preserve">Guidance on the law relating to applications to register </w:t>
      </w:r>
      <w:r w:rsidR="00A12A35">
        <w:rPr>
          <w:b/>
        </w:rPr>
        <w:t>land as a Town or Village Green (</w:t>
      </w:r>
      <w:r w:rsidR="00434490">
        <w:rPr>
          <w:b/>
        </w:rPr>
        <w:t xml:space="preserve">received </w:t>
      </w:r>
      <w:r w:rsidR="00B308F9">
        <w:rPr>
          <w:b/>
        </w:rPr>
        <w:t>after</w:t>
      </w:r>
      <w:r w:rsidR="00434490">
        <w:rPr>
          <w:b/>
        </w:rPr>
        <w:t xml:space="preserve"> April</w:t>
      </w:r>
      <w:r>
        <w:rPr>
          <w:b/>
        </w:rPr>
        <w:t xml:space="preserve"> 2007</w:t>
      </w:r>
      <w:r w:rsidR="00B308F9">
        <w:rPr>
          <w:b/>
        </w:rPr>
        <w:t xml:space="preserve"> under S15 Commons Act 2006</w:t>
      </w:r>
      <w:r>
        <w:rPr>
          <w:b/>
        </w:rPr>
        <w:t>)</w:t>
      </w:r>
    </w:p>
    <w:p w14:paraId="77170CCE" w14:textId="77777777" w:rsidR="00E102E0" w:rsidRDefault="00E102E0" w:rsidP="00E102E0">
      <w:pPr>
        <w:rPr>
          <w:b/>
          <w:szCs w:val="24"/>
        </w:rPr>
      </w:pPr>
    </w:p>
    <w:p w14:paraId="4A5338DD" w14:textId="77777777" w:rsidR="00E102E0" w:rsidRDefault="00E102E0" w:rsidP="00E102E0">
      <w:r>
        <w:t xml:space="preserve">The Commons Act </w:t>
      </w:r>
      <w:r w:rsidR="00B308F9">
        <w:t>2006</w:t>
      </w:r>
      <w:r>
        <w:t xml:space="preserve"> (</w:t>
      </w:r>
      <w:r w:rsidR="00A12A35">
        <w:t>“</w:t>
      </w:r>
      <w:r>
        <w:t>the Act</w:t>
      </w:r>
      <w:r w:rsidR="00A12A35">
        <w:t>”</w:t>
      </w:r>
      <w:r>
        <w:t xml:space="preserve">) makes provision for the registration of common land and of town or village greens. Registration Authorities were created </w:t>
      </w:r>
      <w:r w:rsidR="00B308F9">
        <w:t xml:space="preserve">under 1965 legislation </w:t>
      </w:r>
      <w:r>
        <w:t>to maintain two registers</w:t>
      </w:r>
      <w:r w:rsidR="00A12A35">
        <w:t xml:space="preserve">, namely </w:t>
      </w:r>
      <w:r>
        <w:t xml:space="preserve">one for common land and the other for town and village greens. The County Council is the Registration Authority for the County of Lancashire. </w:t>
      </w:r>
    </w:p>
    <w:p w14:paraId="75B96434" w14:textId="77777777" w:rsidR="0094164D" w:rsidRDefault="0094164D" w:rsidP="00E102E0"/>
    <w:p w14:paraId="64460AA3" w14:textId="77777777" w:rsidR="0094164D" w:rsidRDefault="0094164D" w:rsidP="00E102E0">
      <w:r>
        <w:t>Decisions about the Register are largely taken by the Regulatory Committee and Special Sub Committees may be established to determine particular applications.</w:t>
      </w:r>
    </w:p>
    <w:p w14:paraId="6E12F0D8" w14:textId="77777777" w:rsidR="0094164D" w:rsidRDefault="0094164D" w:rsidP="00E102E0"/>
    <w:p w14:paraId="67AE824E" w14:textId="6414ED71" w:rsidR="0094164D" w:rsidRDefault="0094164D" w:rsidP="00E102E0">
      <w:r>
        <w:t>In applications to add a new</w:t>
      </w:r>
      <w:r w:rsidR="00B62DBC">
        <w:t xml:space="preserve"> town green to the register </w:t>
      </w:r>
      <w:r>
        <w:t xml:space="preserve">the favoured way for determination is for the sub committee to hear the evidence itself and to receive a report from a legal advisor with their recommendation before determining the matter. These Hearings of Evidence fall outside the statutory Regulations issued by DEFRA but they are considered to be an appropriate way of reaching a determination for most applications. The Regulations provide for a Public Inquiry held by an inspector and this too may be </w:t>
      </w:r>
      <w:r w:rsidR="00BD4EE3">
        <w:t xml:space="preserve">appropriate and lead to the Special Sub Committee considering the Inspector's report and recommendation. </w:t>
      </w:r>
    </w:p>
    <w:p w14:paraId="2CC9E3A5" w14:textId="77777777" w:rsidR="00E102E0" w:rsidRDefault="00E102E0" w:rsidP="00E102E0"/>
    <w:p w14:paraId="582F0DB4" w14:textId="77777777" w:rsidR="007603BA" w:rsidRDefault="008F305E" w:rsidP="00E102E0">
      <w:r>
        <w:t xml:space="preserve">The Commons Act 2006 provides for us continuing to maintain the Register. </w:t>
      </w:r>
      <w:r w:rsidR="007603BA">
        <w:t>Section 15 of the Commons Act 2006 sets out criteria for registering greens and came into force on 6 April 2007. It supersedes the criteria laid down in Section 22 of the 1965 Act</w:t>
      </w:r>
      <w:r w:rsidR="000578B1">
        <w:t>,</w:t>
      </w:r>
      <w:r w:rsidR="007603BA">
        <w:t xml:space="preserve"> </w:t>
      </w:r>
      <w:r w:rsidR="00B308F9">
        <w:t>and</w:t>
      </w:r>
      <w:r w:rsidR="007603BA">
        <w:t xml:space="preserve"> applies to applications made on or after 6 April 2007. </w:t>
      </w:r>
      <w:r w:rsidR="00B308F9">
        <w:t>(</w:t>
      </w:r>
      <w:r w:rsidR="007603BA">
        <w:t>The law under the 1965 Act continues to apply to all applications made prior to that date.</w:t>
      </w:r>
      <w:r w:rsidR="00B308F9">
        <w:t>)</w:t>
      </w:r>
    </w:p>
    <w:p w14:paraId="202D8749" w14:textId="77777777" w:rsidR="00E102E0" w:rsidRDefault="00E102E0" w:rsidP="00E102E0"/>
    <w:p w14:paraId="0DABCDA5" w14:textId="77777777" w:rsidR="007040B8" w:rsidRDefault="00E102E0" w:rsidP="00E102E0">
      <w:r>
        <w:t xml:space="preserve">The </w:t>
      </w:r>
      <w:r w:rsidR="007040B8">
        <w:t>wording of Section 15 is –</w:t>
      </w:r>
    </w:p>
    <w:p w14:paraId="12FCE96B" w14:textId="77777777" w:rsidR="007040B8" w:rsidRDefault="007040B8" w:rsidP="00E102E0"/>
    <w:p w14:paraId="0B936360" w14:textId="77777777" w:rsidR="008F305E" w:rsidRDefault="00BD4EE3" w:rsidP="008F305E">
      <w:r>
        <w:t>s</w:t>
      </w:r>
      <w:r w:rsidR="008F305E">
        <w:t>15</w:t>
      </w:r>
    </w:p>
    <w:p w14:paraId="30580183" w14:textId="77777777" w:rsidR="008F305E" w:rsidRDefault="008F305E" w:rsidP="008F305E">
      <w:r>
        <w:t>Registration of greens</w:t>
      </w:r>
    </w:p>
    <w:p w14:paraId="3B3EDBCD" w14:textId="77777777" w:rsidR="008F305E" w:rsidRDefault="008F305E" w:rsidP="008F305E"/>
    <w:p w14:paraId="75831FCF" w14:textId="77777777" w:rsidR="008F305E" w:rsidRDefault="008F305E" w:rsidP="008F305E">
      <w:r>
        <w:t xml:space="preserve">(1) Any person may apply to the commons registration authority to register </w:t>
      </w:r>
      <w:r w:rsidRPr="008F305E">
        <w:t>land</w:t>
      </w:r>
      <w:r>
        <w:t xml:space="preserve"> to which this Part applies as a town or village green in a case where subsection (2), (3) or (4) applies.</w:t>
      </w:r>
    </w:p>
    <w:p w14:paraId="42684E52" w14:textId="77777777" w:rsidR="008F305E" w:rsidRDefault="008F305E" w:rsidP="008F305E"/>
    <w:p w14:paraId="36917F06" w14:textId="77777777" w:rsidR="008F305E" w:rsidRDefault="008F305E" w:rsidP="008F305E">
      <w:r>
        <w:t>(2) This subsection applies where—</w:t>
      </w:r>
    </w:p>
    <w:p w14:paraId="06C2DDDA" w14:textId="77777777" w:rsidR="008F305E" w:rsidRDefault="008F305E" w:rsidP="008F305E">
      <w:r>
        <w:t xml:space="preserve">(a) a </w:t>
      </w:r>
      <w:r w:rsidRPr="008F305E">
        <w:rPr>
          <w:b/>
        </w:rPr>
        <w:t>significant number</w:t>
      </w:r>
      <w:r>
        <w:t xml:space="preserve"> of the </w:t>
      </w:r>
      <w:r w:rsidRPr="008F305E">
        <w:rPr>
          <w:b/>
        </w:rPr>
        <w:t>inhabitants</w:t>
      </w:r>
      <w:r>
        <w:t xml:space="preserve"> of any </w:t>
      </w:r>
      <w:r w:rsidRPr="008F305E">
        <w:rPr>
          <w:b/>
        </w:rPr>
        <w:t>locality</w:t>
      </w:r>
      <w:r>
        <w:t xml:space="preserve">, or of any </w:t>
      </w:r>
      <w:r w:rsidRPr="008F305E">
        <w:rPr>
          <w:b/>
        </w:rPr>
        <w:t>neighbourhood within a locality</w:t>
      </w:r>
      <w:r>
        <w:t xml:space="preserve">, have indulged </w:t>
      </w:r>
      <w:r w:rsidRPr="008F305E">
        <w:rPr>
          <w:b/>
        </w:rPr>
        <w:t>as of right</w:t>
      </w:r>
      <w:r>
        <w:t xml:space="preserve"> in </w:t>
      </w:r>
      <w:r w:rsidRPr="008F305E">
        <w:rPr>
          <w:b/>
        </w:rPr>
        <w:t>lawful sports and pastimes</w:t>
      </w:r>
      <w:r>
        <w:t xml:space="preserve"> on the </w:t>
      </w:r>
      <w:r w:rsidRPr="008F305E">
        <w:rPr>
          <w:b/>
        </w:rPr>
        <w:t xml:space="preserve">land </w:t>
      </w:r>
      <w:r>
        <w:t xml:space="preserve">for a period of at least </w:t>
      </w:r>
      <w:r w:rsidRPr="008F305E">
        <w:rPr>
          <w:b/>
        </w:rPr>
        <w:t>20 years</w:t>
      </w:r>
      <w:r>
        <w:t>; and</w:t>
      </w:r>
    </w:p>
    <w:p w14:paraId="7CC5B169" w14:textId="77777777" w:rsidR="008F305E" w:rsidRDefault="008F305E" w:rsidP="008F305E">
      <w:r>
        <w:t>(b) they continue to do so at the time of the application.</w:t>
      </w:r>
    </w:p>
    <w:p w14:paraId="4733F258" w14:textId="77777777" w:rsidR="008F305E" w:rsidRDefault="008F305E" w:rsidP="008F305E"/>
    <w:p w14:paraId="2EE4F4B5" w14:textId="77777777" w:rsidR="008F305E" w:rsidRDefault="008F305E" w:rsidP="008F305E">
      <w:r>
        <w:t>(3) This subsection applies where—</w:t>
      </w:r>
    </w:p>
    <w:p w14:paraId="208C9C52" w14:textId="77777777" w:rsidR="008F305E" w:rsidRDefault="008F305E" w:rsidP="008F305E">
      <w:r>
        <w:t>(a) a significant number of the inhabitants of any locality, or of any neighbourhood within a locality, indulged as of right in lawful sports and pastimes on the land for a period of at least 20 years;</w:t>
      </w:r>
    </w:p>
    <w:p w14:paraId="4D55C417" w14:textId="77777777" w:rsidR="008F305E" w:rsidRDefault="008F305E" w:rsidP="008F305E">
      <w:r>
        <w:t>(b) they ceased to do so before the time of the application but after the commencement of this section; and</w:t>
      </w:r>
    </w:p>
    <w:p w14:paraId="6E507913" w14:textId="77777777" w:rsidR="008F305E" w:rsidRDefault="008F305E" w:rsidP="008F305E">
      <w:r>
        <w:t>(c) the application is made within the relevant period .</w:t>
      </w:r>
    </w:p>
    <w:p w14:paraId="2041BC20" w14:textId="77777777" w:rsidR="008F305E" w:rsidRDefault="008F305E" w:rsidP="008F305E"/>
    <w:p w14:paraId="14DAD299" w14:textId="77777777" w:rsidR="008F305E" w:rsidRDefault="008F305E" w:rsidP="008F305E">
      <w:r>
        <w:lastRenderedPageBreak/>
        <w:t xml:space="preserve">(3A) In subsection (3), “the relevant period” means— </w:t>
      </w:r>
    </w:p>
    <w:p w14:paraId="29CDE930" w14:textId="77777777" w:rsidR="008F305E" w:rsidRDefault="008F305E" w:rsidP="008F305E">
      <w:r>
        <w:t>in the case of an application relating to land in England, the period of one year beginning with the cessation mentioned in subsection (3)(b);</w:t>
      </w:r>
    </w:p>
    <w:p w14:paraId="5B77935A" w14:textId="77777777" w:rsidR="008F305E" w:rsidRDefault="008F305E" w:rsidP="008F305E">
      <w:r>
        <w:t>(b) in the case of an application relating to land in Wales, the period of two years beginning with that cessation.]</w:t>
      </w:r>
    </w:p>
    <w:p w14:paraId="155CD763" w14:textId="77777777" w:rsidR="008F305E" w:rsidRDefault="008F305E" w:rsidP="008F305E"/>
    <w:p w14:paraId="25BFB5D3" w14:textId="77777777" w:rsidR="008F305E" w:rsidRDefault="008F305E" w:rsidP="008F305E">
      <w:r>
        <w:t>(4) This subsection applies (subject to subsection (5)) where—</w:t>
      </w:r>
    </w:p>
    <w:p w14:paraId="46AF36B8" w14:textId="77777777" w:rsidR="008F305E" w:rsidRDefault="008F305E" w:rsidP="008F305E">
      <w:r>
        <w:t>(a) a significant number of the inhabitants of any locality, or of any neighbourhood within a locality, indulged as of right in lawful sports and pastimes on the land for a period of at least 20 years;</w:t>
      </w:r>
    </w:p>
    <w:p w14:paraId="4AD30D3B" w14:textId="77777777" w:rsidR="008F305E" w:rsidRDefault="008F305E" w:rsidP="008F305E">
      <w:r>
        <w:t>(b) they ceased to do so before the commencement of this section; and</w:t>
      </w:r>
    </w:p>
    <w:p w14:paraId="1DAF68DA" w14:textId="77777777" w:rsidR="008F305E" w:rsidRDefault="008F305E" w:rsidP="008F305E">
      <w:r>
        <w:t>(c) the application is made within the period of five years beginning with the cessation referred to in paragraph (b).</w:t>
      </w:r>
    </w:p>
    <w:p w14:paraId="6D56338E" w14:textId="77777777" w:rsidR="008F305E" w:rsidRDefault="008F305E" w:rsidP="008F305E"/>
    <w:p w14:paraId="1F04CFEA" w14:textId="77777777" w:rsidR="008F305E" w:rsidRDefault="008F305E" w:rsidP="008F305E">
      <w:r>
        <w:t>(5)</w:t>
      </w:r>
    </w:p>
    <w:p w14:paraId="16A90B44" w14:textId="77777777" w:rsidR="008F305E" w:rsidRDefault="008F305E" w:rsidP="008F305E">
      <w:r>
        <w:t>Subsection (4) does not apply in relation to any land where—</w:t>
      </w:r>
    </w:p>
    <w:p w14:paraId="6E21FF93" w14:textId="77777777" w:rsidR="008F305E" w:rsidRDefault="008F305E" w:rsidP="008F305E">
      <w:r>
        <w:t>(a) planning permission was granted before 23 June 2006 in respect of the land;</w:t>
      </w:r>
    </w:p>
    <w:p w14:paraId="29569C5F" w14:textId="77777777" w:rsidR="008F305E" w:rsidRDefault="008F305E" w:rsidP="008F305E">
      <w:r>
        <w:t>(b) construction works were commenced before that date in accordance with that planning permission on the land or any other land in respect of which the permission was granted; and</w:t>
      </w:r>
    </w:p>
    <w:p w14:paraId="7AB9A6A0" w14:textId="77777777" w:rsidR="008F305E" w:rsidRDefault="008F305E" w:rsidP="008F305E">
      <w:r>
        <w:t>(c) the land—</w:t>
      </w:r>
    </w:p>
    <w:p w14:paraId="3F3A3838" w14:textId="77777777" w:rsidR="008F305E" w:rsidRDefault="008F305E" w:rsidP="008F305E">
      <w:r>
        <w:t>(i) has by reason of any works carried out in accordance with that planning permission become permanently unusable by members of the public for the purposes of lawful sports and pastimes; or</w:t>
      </w:r>
    </w:p>
    <w:p w14:paraId="378B8BFE" w14:textId="77777777" w:rsidR="008F305E" w:rsidRDefault="008F305E" w:rsidP="008F305E">
      <w:r>
        <w:t>(ii) will by reason of any works proposed to be carried out in accordance with that planning permission become permanently unusable by members of the public for those purposes.</w:t>
      </w:r>
    </w:p>
    <w:p w14:paraId="7F866C55" w14:textId="77777777" w:rsidR="008F305E" w:rsidRDefault="008F305E" w:rsidP="008F305E"/>
    <w:p w14:paraId="62F6E9A5" w14:textId="77777777" w:rsidR="008F305E" w:rsidRDefault="008F305E" w:rsidP="008F305E">
      <w:r>
        <w:t>(6)</w:t>
      </w:r>
    </w:p>
    <w:p w14:paraId="356E4705" w14:textId="77777777" w:rsidR="008F305E" w:rsidRDefault="008F305E" w:rsidP="008F305E">
      <w:r>
        <w:t>In determining the period of 20 years referred to in subsections (2)(a), (3)(a) and (4)(a), there is to be disregarded any period during which access to the land was prohibited to members of the public by reason of any enactment.</w:t>
      </w:r>
    </w:p>
    <w:p w14:paraId="62A749C1" w14:textId="77777777" w:rsidR="008F305E" w:rsidRDefault="008F305E" w:rsidP="008F305E"/>
    <w:p w14:paraId="46C56122" w14:textId="77777777" w:rsidR="008F305E" w:rsidRDefault="008F305E" w:rsidP="008F305E">
      <w:r>
        <w:t>(7)</w:t>
      </w:r>
    </w:p>
    <w:p w14:paraId="1D2C1E09" w14:textId="77777777" w:rsidR="008F305E" w:rsidRDefault="008F305E" w:rsidP="008F305E">
      <w:r>
        <w:t>For the purposes of subsection (2)(b) in a case where the condition in subsection (2)(a) is satisfied—</w:t>
      </w:r>
    </w:p>
    <w:p w14:paraId="4088FA17" w14:textId="77777777" w:rsidR="008F305E" w:rsidRDefault="008F305E" w:rsidP="008F305E">
      <w:r>
        <w:t>(a) where persons indulge as of right in lawful sports and pastimes immediately before access to the land is prohibited as specified in subsection (6), those persons are to be regarded as continuing so to indulge; and</w:t>
      </w:r>
    </w:p>
    <w:p w14:paraId="61EF0E62" w14:textId="77777777" w:rsidR="00E102E0" w:rsidRDefault="008F305E" w:rsidP="008F305E">
      <w:r>
        <w:t>(b) where permission is granted in respect of use of the land for the purposes of lawful sports and pastimes, the permission is to be disregarded in determining whether persons continue to indulge in lawful sports and pastimes on the land “as of right”.</w:t>
      </w:r>
    </w:p>
    <w:p w14:paraId="2B07B120" w14:textId="77777777" w:rsidR="003A1605" w:rsidRDefault="003A1605" w:rsidP="00E102E0"/>
    <w:p w14:paraId="6122E533" w14:textId="77777777" w:rsidR="00E102E0" w:rsidRPr="00BD4EE3" w:rsidRDefault="00C3483B" w:rsidP="00E102E0">
      <w:pPr>
        <w:rPr>
          <w:b/>
        </w:rPr>
      </w:pPr>
      <w:r w:rsidRPr="00BD4EE3">
        <w:rPr>
          <w:b/>
        </w:rPr>
        <w:t xml:space="preserve">Each of the </w:t>
      </w:r>
      <w:r w:rsidR="00E102E0" w:rsidRPr="00BD4EE3">
        <w:rPr>
          <w:b/>
        </w:rPr>
        <w:t xml:space="preserve">elements of the definition must be satisfied </w:t>
      </w:r>
      <w:r w:rsidR="005C2EC4" w:rsidRPr="00BD4EE3">
        <w:rPr>
          <w:b/>
        </w:rPr>
        <w:t xml:space="preserve">by the Applicant </w:t>
      </w:r>
      <w:r w:rsidR="00E102E0" w:rsidRPr="00BD4EE3">
        <w:rPr>
          <w:b/>
        </w:rPr>
        <w:t xml:space="preserve">on </w:t>
      </w:r>
      <w:r w:rsidRPr="00BD4EE3">
        <w:rPr>
          <w:b/>
        </w:rPr>
        <w:t xml:space="preserve">a </w:t>
      </w:r>
      <w:r w:rsidR="00E102E0" w:rsidRPr="00BD4EE3">
        <w:rPr>
          <w:b/>
        </w:rPr>
        <w:t xml:space="preserve">balance of probabilities and guidance below </w:t>
      </w:r>
      <w:r w:rsidR="00FA588E" w:rsidRPr="00BD4EE3">
        <w:rPr>
          <w:b/>
        </w:rPr>
        <w:t>deals with each element in turn.</w:t>
      </w:r>
    </w:p>
    <w:p w14:paraId="12BFC7CC" w14:textId="77777777" w:rsidR="00E102E0" w:rsidRDefault="00E102E0" w:rsidP="00E102E0">
      <w:pPr>
        <w:rPr>
          <w:szCs w:val="24"/>
        </w:rPr>
      </w:pPr>
    </w:p>
    <w:p w14:paraId="626090A9" w14:textId="77777777" w:rsidR="00E102E0" w:rsidRDefault="00E102E0" w:rsidP="00E102E0">
      <w:pPr>
        <w:rPr>
          <w:b/>
          <w:szCs w:val="24"/>
        </w:rPr>
      </w:pPr>
      <w:r>
        <w:rPr>
          <w:b/>
          <w:szCs w:val="24"/>
        </w:rPr>
        <w:t>Land</w:t>
      </w:r>
    </w:p>
    <w:p w14:paraId="2D9A7C09" w14:textId="77777777" w:rsidR="006F11D9" w:rsidRDefault="006F11D9" w:rsidP="00E102E0">
      <w:pPr>
        <w:rPr>
          <w:b/>
          <w:szCs w:val="24"/>
        </w:rPr>
      </w:pPr>
    </w:p>
    <w:p w14:paraId="1A953A8A" w14:textId="77777777" w:rsidR="006F11D9" w:rsidRDefault="006F11D9" w:rsidP="006F11D9">
      <w:r>
        <w:t xml:space="preserve">In order that it is clear what is sought to be registered, the Land must be clearly identified and the extent of the land must be shown on a plan submitted with the Application form.  </w:t>
      </w:r>
    </w:p>
    <w:p w14:paraId="69F38EBB" w14:textId="77777777" w:rsidR="006F11D9" w:rsidRDefault="006F11D9" w:rsidP="00E102E0">
      <w:pPr>
        <w:rPr>
          <w:b/>
          <w:szCs w:val="24"/>
        </w:rPr>
      </w:pPr>
    </w:p>
    <w:p w14:paraId="3FB78A87" w14:textId="77777777" w:rsidR="00AE52DD" w:rsidRDefault="007040B8" w:rsidP="00AE52DD">
      <w:r>
        <w:t>There are</w:t>
      </w:r>
      <w:r w:rsidR="00AE52DD">
        <w:t xml:space="preserve"> no restrictions on the kind of land which may qualify for registration. It need not have any particular physical characteristics. Moreover, it is apparent from case law that overgrown or otherwise inaccessible areas may still be part of the land capable of registration as a whole as they may still be used for recreational purposes, such as flower </w:t>
      </w:r>
      <w:r w:rsidR="00AE52DD">
        <w:lastRenderedPageBreak/>
        <w:t>beds and shrubberies admired by walkers, or areas of land which is habitat for birds and wildlife and is part of a recreational experience in using the land.</w:t>
      </w:r>
    </w:p>
    <w:p w14:paraId="7F4A3AC6" w14:textId="77777777" w:rsidR="00AE52DD" w:rsidRDefault="00AE52DD" w:rsidP="00E102E0">
      <w:pPr>
        <w:rPr>
          <w:szCs w:val="24"/>
        </w:rPr>
      </w:pPr>
    </w:p>
    <w:p w14:paraId="5DBDC70C" w14:textId="77777777" w:rsidR="00E102E0" w:rsidRDefault="00E102E0" w:rsidP="00E102E0">
      <w:r>
        <w:t xml:space="preserve">It is advised that land may </w:t>
      </w:r>
      <w:r w:rsidR="006F11D9">
        <w:t xml:space="preserve">also </w:t>
      </w:r>
      <w:r>
        <w:t xml:space="preserve">include land covered by water, e.g. a pond or stream. </w:t>
      </w:r>
    </w:p>
    <w:p w14:paraId="548A00C8" w14:textId="77777777" w:rsidR="00BC59BB" w:rsidRDefault="00BC59BB" w:rsidP="00E102E0"/>
    <w:p w14:paraId="4D4CE84D" w14:textId="77777777" w:rsidR="00E102E0" w:rsidRDefault="0065519A" w:rsidP="00E102E0">
      <w:r>
        <w:t>I</w:t>
      </w:r>
      <w:r w:rsidR="00E102E0">
        <w:t>t is advised that the evidence may justify the re</w:t>
      </w:r>
      <w:r w:rsidR="00D50C42">
        <w:t>gistration of only part of the A</w:t>
      </w:r>
      <w:r w:rsidR="00E102E0">
        <w:t>pplication land</w:t>
      </w:r>
      <w:r w:rsidR="00D50C42">
        <w:t xml:space="preserve"> by the Registration Authority</w:t>
      </w:r>
      <w:r w:rsidR="00E102E0">
        <w:t>.</w:t>
      </w:r>
    </w:p>
    <w:p w14:paraId="1A789E2D" w14:textId="77777777" w:rsidR="00E102E0" w:rsidRDefault="00E102E0" w:rsidP="00E102E0"/>
    <w:p w14:paraId="2058F3C6" w14:textId="77777777" w:rsidR="00E102E0" w:rsidRDefault="008129D8" w:rsidP="00E102E0">
      <w:r>
        <w:t xml:space="preserve">It is advised that the </w:t>
      </w:r>
      <w:r w:rsidR="00E102E0">
        <w:t>Registration Authority must decide on a common sense approach as to whether the land or part of it has been used for at least twenty years with use having continued and for the required recreational purposes. For this purpose</w:t>
      </w:r>
      <w:r>
        <w:t>, it is required to take</w:t>
      </w:r>
      <w:r w:rsidR="00E102E0">
        <w:t xml:space="preserve"> in</w:t>
      </w:r>
      <w:r>
        <w:t xml:space="preserve">to account where appropriate </w:t>
      </w:r>
      <w:r w:rsidR="00E102E0">
        <w:t>the physical condition of the land during the relevant time period</w:t>
      </w:r>
      <w:r w:rsidR="00FF10A0">
        <w:t>,</w:t>
      </w:r>
      <w:r w:rsidR="00E102E0">
        <w:t xml:space="preserve"> bearing in mind that the physical condition may have changed</w:t>
      </w:r>
      <w:r w:rsidR="00FF10A0">
        <w:t xml:space="preserve"> during</w:t>
      </w:r>
      <w:r>
        <w:t xml:space="preserve"> that period</w:t>
      </w:r>
      <w:r w:rsidR="00E102E0">
        <w:t>.</w:t>
      </w:r>
      <w:r w:rsidR="0065519A">
        <w:t xml:space="preserve"> </w:t>
      </w:r>
    </w:p>
    <w:p w14:paraId="0F8CBB17" w14:textId="77777777" w:rsidR="00E102E0" w:rsidRDefault="00E102E0" w:rsidP="00E102E0"/>
    <w:p w14:paraId="24F211C3" w14:textId="77777777" w:rsidR="00E102E0" w:rsidRDefault="00E102E0" w:rsidP="00E102E0">
      <w:r>
        <w:t>If any substantial part of the land by reason of its physical character has not been used for the twenty year period for the required recreational purposes</w:t>
      </w:r>
      <w:r w:rsidR="008129D8">
        <w:t>,</w:t>
      </w:r>
      <w:r>
        <w:t xml:space="preserve"> then that part may not have become a Green and may </w:t>
      </w:r>
      <w:r w:rsidR="008129D8">
        <w:t>also affect whether</w:t>
      </w:r>
      <w:r>
        <w:t xml:space="preserve"> the rest of the area of the land </w:t>
      </w:r>
      <w:r w:rsidR="008129D8">
        <w:t xml:space="preserve">has satisfied </w:t>
      </w:r>
      <w:r>
        <w:t>the statutory tests.</w:t>
      </w:r>
      <w:r w:rsidR="0065519A">
        <w:t xml:space="preserve"> A registration authority would not expect to see evidence of use of every square </w:t>
      </w:r>
      <w:r w:rsidR="00585316">
        <w:t>metre but evidence does have to persuade that for all practical purposes it could sensibly be said that the whole of the site has been used.</w:t>
      </w:r>
    </w:p>
    <w:p w14:paraId="75A0265A" w14:textId="77777777" w:rsidR="00E102E0" w:rsidRDefault="00E102E0" w:rsidP="00E102E0">
      <w:pPr>
        <w:rPr>
          <w:szCs w:val="24"/>
        </w:rPr>
      </w:pPr>
    </w:p>
    <w:p w14:paraId="1BEC3399" w14:textId="77777777" w:rsidR="002671D4" w:rsidRDefault="002671D4" w:rsidP="00E102E0">
      <w:pPr>
        <w:rPr>
          <w:b/>
          <w:szCs w:val="24"/>
        </w:rPr>
      </w:pPr>
    </w:p>
    <w:p w14:paraId="4F843372" w14:textId="77777777" w:rsidR="00E102E0" w:rsidRDefault="00E102E0" w:rsidP="00E102E0">
      <w:pPr>
        <w:rPr>
          <w:b/>
          <w:szCs w:val="24"/>
        </w:rPr>
      </w:pPr>
      <w:r>
        <w:rPr>
          <w:b/>
          <w:szCs w:val="24"/>
        </w:rPr>
        <w:t xml:space="preserve">Use for Twenty Years and continuing </w:t>
      </w:r>
      <w:r w:rsidR="00BD4EE3">
        <w:rPr>
          <w:b/>
          <w:szCs w:val="24"/>
        </w:rPr>
        <w:t xml:space="preserve">upto application or </w:t>
      </w:r>
      <w:r w:rsidR="0023317C">
        <w:rPr>
          <w:b/>
          <w:szCs w:val="24"/>
        </w:rPr>
        <w:t xml:space="preserve">within a year of application </w:t>
      </w:r>
    </w:p>
    <w:p w14:paraId="1DB68577" w14:textId="77777777" w:rsidR="00E102E0" w:rsidRDefault="00E102E0" w:rsidP="00E102E0">
      <w:pPr>
        <w:rPr>
          <w:szCs w:val="24"/>
        </w:rPr>
      </w:pPr>
      <w:r>
        <w:rPr>
          <w:szCs w:val="24"/>
        </w:rPr>
        <w:t xml:space="preserve"> </w:t>
      </w:r>
    </w:p>
    <w:p w14:paraId="7E2AF307" w14:textId="77777777" w:rsidR="00E102E0" w:rsidRDefault="00E102E0" w:rsidP="00E102E0">
      <w:r>
        <w:t>It is advised that the 20 year period of use can be made up of several lesser periods of use by individuals using the</w:t>
      </w:r>
      <w:r w:rsidR="00F42986">
        <w:t xml:space="preserve"> application land so long as tho</w:t>
      </w:r>
      <w:r>
        <w:t xml:space="preserve">se lesser periods overlap and form a continuous </w:t>
      </w:r>
      <w:r w:rsidR="00F42986">
        <w:t>un</w:t>
      </w:r>
      <w:r>
        <w:t xml:space="preserve">broken period of </w:t>
      </w:r>
      <w:r w:rsidR="00F64FA4">
        <w:t xml:space="preserve">use of </w:t>
      </w:r>
      <w:r>
        <w:t>twenty years.</w:t>
      </w:r>
      <w:r w:rsidR="00F64FA4">
        <w:t xml:space="preserve"> That use must not be interrupted over t</w:t>
      </w:r>
      <w:r>
        <w:t>he twenty year period.</w:t>
      </w:r>
    </w:p>
    <w:p w14:paraId="50BA5AB7" w14:textId="77777777" w:rsidR="00E102E0" w:rsidRDefault="00E102E0" w:rsidP="00E102E0"/>
    <w:p w14:paraId="1836EC09" w14:textId="77777777" w:rsidR="00096FF0" w:rsidRDefault="007040B8" w:rsidP="00E102E0">
      <w:pPr>
        <w:rPr>
          <w:lang w:val="en-US"/>
        </w:rPr>
      </w:pPr>
      <w:r>
        <w:rPr>
          <w:lang w:val="en-US"/>
        </w:rPr>
        <w:t>If the application seeks to satisfy S15 (2), t</w:t>
      </w:r>
      <w:r w:rsidR="00E102E0">
        <w:rPr>
          <w:lang w:val="en-US"/>
        </w:rPr>
        <w:t xml:space="preserve">he use must "continue" to the date of </w:t>
      </w:r>
      <w:r w:rsidR="00096FF0">
        <w:rPr>
          <w:lang w:val="en-US"/>
        </w:rPr>
        <w:t xml:space="preserve">the </w:t>
      </w:r>
      <w:r w:rsidR="00E102E0">
        <w:rPr>
          <w:lang w:val="en-US"/>
        </w:rPr>
        <w:t>application and therefore not only must the use be sufficient during the twenty year period claimed</w:t>
      </w:r>
      <w:r w:rsidR="00096FF0">
        <w:rPr>
          <w:lang w:val="en-US"/>
        </w:rPr>
        <w:t>,</w:t>
      </w:r>
      <w:r w:rsidR="00E102E0">
        <w:rPr>
          <w:lang w:val="en-US"/>
        </w:rPr>
        <w:t xml:space="preserve"> but also for the </w:t>
      </w:r>
      <w:r w:rsidR="00096FF0">
        <w:rPr>
          <w:lang w:val="en-US"/>
        </w:rPr>
        <w:t>period of time</w:t>
      </w:r>
      <w:r w:rsidR="00E102E0">
        <w:rPr>
          <w:lang w:val="en-US"/>
        </w:rPr>
        <w:t xml:space="preserve"> afterwards until the application is made. </w:t>
      </w:r>
    </w:p>
    <w:p w14:paraId="0E09C8AC" w14:textId="77777777" w:rsidR="007040B8" w:rsidRDefault="00E102E0" w:rsidP="00E102E0">
      <w:pPr>
        <w:rPr>
          <w:lang w:val="en-US"/>
        </w:rPr>
      </w:pPr>
      <w:r>
        <w:rPr>
          <w:lang w:val="en-US"/>
        </w:rPr>
        <w:t>In effect</w:t>
      </w:r>
      <w:r w:rsidR="00096FF0">
        <w:rPr>
          <w:lang w:val="en-US"/>
        </w:rPr>
        <w:t>, for</w:t>
      </w:r>
      <w:r>
        <w:rPr>
          <w:lang w:val="en-US"/>
        </w:rPr>
        <w:t xml:space="preserve"> at least the twenty year period immediately before the application </w:t>
      </w:r>
      <w:r w:rsidR="00096FF0">
        <w:rPr>
          <w:lang w:val="en-US"/>
        </w:rPr>
        <w:t xml:space="preserve">there must have been </w:t>
      </w:r>
      <w:r>
        <w:rPr>
          <w:lang w:val="en-US"/>
        </w:rPr>
        <w:t xml:space="preserve">sufficient as of right user.  </w:t>
      </w:r>
    </w:p>
    <w:p w14:paraId="28643931" w14:textId="77777777" w:rsidR="00585316" w:rsidRDefault="00585316" w:rsidP="00E102E0">
      <w:pPr>
        <w:rPr>
          <w:lang w:val="en-US"/>
        </w:rPr>
      </w:pPr>
    </w:p>
    <w:p w14:paraId="27F2C3F3" w14:textId="77777777" w:rsidR="00105B88" w:rsidRDefault="007040B8" w:rsidP="00E102E0">
      <w:pPr>
        <w:rPr>
          <w:lang w:val="en-US"/>
        </w:rPr>
      </w:pPr>
      <w:r>
        <w:rPr>
          <w:lang w:val="en-US"/>
        </w:rPr>
        <w:t>If the use of the land has already ceased and the application seeks to satisfy S</w:t>
      </w:r>
      <w:r w:rsidR="00105B88">
        <w:rPr>
          <w:lang w:val="en-US"/>
        </w:rPr>
        <w:t xml:space="preserve">15 (3) the use will have ended not longer than </w:t>
      </w:r>
      <w:r w:rsidR="0023317C">
        <w:rPr>
          <w:lang w:val="en-US"/>
        </w:rPr>
        <w:t>1</w:t>
      </w:r>
      <w:r w:rsidR="00105B88">
        <w:rPr>
          <w:lang w:val="en-US"/>
        </w:rPr>
        <w:t xml:space="preserve"> year before the application.</w:t>
      </w:r>
    </w:p>
    <w:p w14:paraId="27540F21" w14:textId="77777777" w:rsidR="00105B88" w:rsidRDefault="00105B88" w:rsidP="00E102E0">
      <w:pPr>
        <w:rPr>
          <w:lang w:val="en-US"/>
        </w:rPr>
      </w:pPr>
    </w:p>
    <w:p w14:paraId="5ED53443" w14:textId="77777777" w:rsidR="00E102E0" w:rsidRDefault="00E102E0" w:rsidP="00E102E0">
      <w:pPr>
        <w:rPr>
          <w:lang w:val="en-US"/>
        </w:rPr>
      </w:pPr>
    </w:p>
    <w:p w14:paraId="3442CEEC" w14:textId="77777777" w:rsidR="00E102E0" w:rsidRDefault="00E102E0" w:rsidP="00E102E0">
      <w:pPr>
        <w:rPr>
          <w:b/>
        </w:rPr>
      </w:pPr>
      <w:r>
        <w:rPr>
          <w:b/>
        </w:rPr>
        <w:t xml:space="preserve">Significant Number </w:t>
      </w:r>
    </w:p>
    <w:p w14:paraId="020912BF" w14:textId="77777777" w:rsidR="00E102E0" w:rsidRDefault="00E102E0" w:rsidP="00E102E0">
      <w:r>
        <w:t xml:space="preserve">  </w:t>
      </w:r>
    </w:p>
    <w:p w14:paraId="3120E927" w14:textId="77777777" w:rsidR="004448A0" w:rsidRDefault="004448A0" w:rsidP="004448A0">
      <w:r>
        <w:t>“Significant” is not defined in the Act and must be given its ordinary meaning in each individual case. The judicial guidance</w:t>
      </w:r>
      <w:r w:rsidR="006F6567">
        <w:t xml:space="preserve"> in case law is that a “</w:t>
      </w:r>
      <w:r>
        <w:t>significant number</w:t>
      </w:r>
      <w:r w:rsidR="006F6567">
        <w:t xml:space="preserve">” should </w:t>
      </w:r>
      <w:r>
        <w:t xml:space="preserve">not be quantified in terms of a percentage of the neighbourhood or locality in question. </w:t>
      </w:r>
      <w:r w:rsidR="006F6567">
        <w:t>Moreover, it need not be a substantial number</w:t>
      </w:r>
      <w:r w:rsidR="000E7D48">
        <w:t xml:space="preserve"> </w:t>
      </w:r>
      <w:r w:rsidR="004F1ED7">
        <w:t>n</w:t>
      </w:r>
      <w:r w:rsidR="000E7D48">
        <w:t>or the majority of those inhabitants</w:t>
      </w:r>
      <w:r w:rsidR="006F6567">
        <w:t xml:space="preserve">. </w:t>
      </w:r>
      <w:r>
        <w:t>Instead “a significan</w:t>
      </w:r>
      <w:r w:rsidR="006F6567">
        <w:t>t number” means a number that i</w:t>
      </w:r>
      <w:r>
        <w:t>s sufficient to indicate that the land is in general use by the local community</w:t>
      </w:r>
      <w:r w:rsidR="006F6567">
        <w:t xml:space="preserve"> for recreational purposes rather than being used occasionally by </w:t>
      </w:r>
      <w:r w:rsidR="000111CF">
        <w:t>i</w:t>
      </w:r>
      <w:r w:rsidR="006F6567">
        <w:t>ndividuals</w:t>
      </w:r>
      <w:r w:rsidR="00972728">
        <w:t xml:space="preserve"> as trespassers</w:t>
      </w:r>
      <w:r>
        <w:t xml:space="preserve">. </w:t>
      </w:r>
    </w:p>
    <w:p w14:paraId="569D46C0" w14:textId="77777777" w:rsidR="004448A0" w:rsidRDefault="004448A0" w:rsidP="00E102E0"/>
    <w:p w14:paraId="6AB00C76" w14:textId="77777777" w:rsidR="00E102E0" w:rsidRDefault="00E102E0" w:rsidP="00E102E0">
      <w:r>
        <w:t>In the McAlpine case in 2002</w:t>
      </w:r>
      <w:r w:rsidR="000111CF">
        <w:t>,</w:t>
      </w:r>
      <w:r>
        <w:t xml:space="preserve"> there were six witnesses </w:t>
      </w:r>
      <w:r w:rsidR="000111CF">
        <w:t>able to give evidence of use over the entire</w:t>
      </w:r>
      <w:r>
        <w:t xml:space="preserve"> twenty year period and</w:t>
      </w:r>
      <w:r w:rsidR="000111CF">
        <w:t xml:space="preserve"> they</w:t>
      </w:r>
      <w:r>
        <w:t xml:space="preserve"> gave evidence not merely about what they did themselves</w:t>
      </w:r>
      <w:r w:rsidR="000111CF">
        <w:t>,</w:t>
      </w:r>
      <w:r>
        <w:t xml:space="preserve"> but </w:t>
      </w:r>
      <w:r w:rsidR="000111CF">
        <w:t xml:space="preserve">also about </w:t>
      </w:r>
      <w:r>
        <w:t>what they saw others doing</w:t>
      </w:r>
      <w:r w:rsidR="000111CF">
        <w:t xml:space="preserve">. That evidence was </w:t>
      </w:r>
      <w:r>
        <w:t xml:space="preserve">supported by many other witnesses who were able to talk about </w:t>
      </w:r>
      <w:r w:rsidR="000111CF">
        <w:t>their use during parts of the twenty year period</w:t>
      </w:r>
      <w:r>
        <w:t>.</w:t>
      </w:r>
      <w:r w:rsidR="000111CF">
        <w:t xml:space="preserve"> The c</w:t>
      </w:r>
      <w:r>
        <w:t>ourt found that written evidence was to be treated with caution</w:t>
      </w:r>
      <w:r w:rsidR="000111CF">
        <w:t>,</w:t>
      </w:r>
      <w:r>
        <w:t xml:space="preserve"> but looking at the totality of evidence, the conclusion that it was consistent with and supportive of the oral </w:t>
      </w:r>
      <w:r>
        <w:lastRenderedPageBreak/>
        <w:t xml:space="preserve">evidence was one which one was entitled to reach. The conclusion reached as to whether use has been by a significant number has to be supported by </w:t>
      </w:r>
      <w:r w:rsidR="000111CF">
        <w:t xml:space="preserve">an </w:t>
      </w:r>
      <w:r>
        <w:t>analysis of all the evidence and not based upon speculation.</w:t>
      </w:r>
    </w:p>
    <w:p w14:paraId="7EDB0D77" w14:textId="77777777" w:rsidR="00E102E0" w:rsidRDefault="00E102E0" w:rsidP="00E102E0">
      <w:r>
        <w:t xml:space="preserve">  </w:t>
      </w:r>
    </w:p>
    <w:p w14:paraId="34A07F13" w14:textId="77777777" w:rsidR="00E102E0" w:rsidRDefault="00E102E0" w:rsidP="00E102E0">
      <w:r>
        <w:t>Evidence of public foo</w:t>
      </w:r>
      <w:r w:rsidR="000E25F2">
        <w:t>tpaths or</w:t>
      </w:r>
      <w:r>
        <w:t xml:space="preserve"> other highways leading to the land, the ease or difficulty of getting onto the land</w:t>
      </w:r>
      <w:r w:rsidR="000E25F2">
        <w:t xml:space="preserve"> and</w:t>
      </w:r>
      <w:r>
        <w:t xml:space="preserve"> the existence of any signs are all </w:t>
      </w:r>
      <w:r w:rsidR="000E25F2">
        <w:t xml:space="preserve">relevant </w:t>
      </w:r>
      <w:r>
        <w:t>circumstances to be considered.</w:t>
      </w:r>
    </w:p>
    <w:p w14:paraId="0C37C4A9" w14:textId="77777777" w:rsidR="00972728" w:rsidRDefault="00972728" w:rsidP="00E102E0"/>
    <w:p w14:paraId="5280492E" w14:textId="77777777" w:rsidR="00E102E0" w:rsidRDefault="000E25F2" w:rsidP="00E102E0">
      <w:r>
        <w:t>It is for the applicant</w:t>
      </w:r>
      <w:r w:rsidR="00E102E0">
        <w:t xml:space="preserve"> to prove use over the full 20 ye</w:t>
      </w:r>
      <w:r>
        <w:t>ars and the continuing period. It is advised that such</w:t>
      </w:r>
      <w:r w:rsidR="00E102E0">
        <w:t xml:space="preserve"> use would have to be by a significant number of inhabitants </w:t>
      </w:r>
      <w:r>
        <w:t xml:space="preserve">throughout those </w:t>
      </w:r>
      <w:r w:rsidR="00E102E0">
        <w:t>20 years and</w:t>
      </w:r>
      <w:r>
        <w:t xml:space="preserve"> the </w:t>
      </w:r>
      <w:r w:rsidR="00E102E0">
        <w:t>continuing</w:t>
      </w:r>
      <w:r>
        <w:t xml:space="preserve"> period</w:t>
      </w:r>
      <w:r w:rsidR="00E102E0">
        <w:t>.</w:t>
      </w:r>
    </w:p>
    <w:p w14:paraId="1E8455FC" w14:textId="77777777" w:rsidR="00585316" w:rsidRDefault="00585316" w:rsidP="00E102E0"/>
    <w:p w14:paraId="55E36A14" w14:textId="77777777" w:rsidR="00585316" w:rsidRDefault="00585316" w:rsidP="00E102E0">
      <w:r>
        <w:t xml:space="preserve">There may be concern if there is a concentration of usage from only part of the locality but recently the court was unimpressed with the argument that the supporters were inadequately spread over the claimed localities. </w:t>
      </w:r>
      <w:r w:rsidR="0023317C">
        <w:t>T</w:t>
      </w:r>
      <w:r>
        <w:t>he majority of users liv</w:t>
      </w:r>
      <w:r w:rsidR="0023317C">
        <w:t>ing</w:t>
      </w:r>
      <w:r>
        <w:t xml:space="preserve"> closest to the application land </w:t>
      </w:r>
      <w:r w:rsidR="0023317C">
        <w:t xml:space="preserve">may be the main users but the rights claimed are for the whole neighbourhood or locality. </w:t>
      </w:r>
    </w:p>
    <w:p w14:paraId="106970B0" w14:textId="77777777" w:rsidR="00E102E0" w:rsidRDefault="00E102E0" w:rsidP="00E102E0">
      <w:pPr>
        <w:rPr>
          <w:szCs w:val="24"/>
        </w:rPr>
      </w:pPr>
    </w:p>
    <w:p w14:paraId="3814C73C" w14:textId="77777777" w:rsidR="00E102E0" w:rsidRDefault="00E102E0" w:rsidP="00E102E0">
      <w:pPr>
        <w:rPr>
          <w:b/>
          <w:szCs w:val="24"/>
        </w:rPr>
      </w:pPr>
      <w:r>
        <w:rPr>
          <w:b/>
          <w:szCs w:val="24"/>
        </w:rPr>
        <w:t xml:space="preserve">Inhabitants </w:t>
      </w:r>
    </w:p>
    <w:p w14:paraId="102C2496" w14:textId="77777777" w:rsidR="00E102E0" w:rsidRDefault="00E102E0" w:rsidP="00E102E0">
      <w:pPr>
        <w:rPr>
          <w:szCs w:val="24"/>
        </w:rPr>
      </w:pPr>
    </w:p>
    <w:p w14:paraId="08845587" w14:textId="77777777" w:rsidR="00E102E0" w:rsidRDefault="00E102E0" w:rsidP="00E102E0">
      <w:r>
        <w:t>The requirement that the use of an application site</w:t>
      </w:r>
      <w:r w:rsidR="00E457B1">
        <w:t xml:space="preserve"> must have</w:t>
      </w:r>
      <w:r>
        <w:t xml:space="preserve"> be</w:t>
      </w:r>
      <w:r w:rsidR="00E457B1">
        <w:t>en</w:t>
      </w:r>
      <w:r>
        <w:t xml:space="preserve"> by inhabitants is an aspect that has not been clarified to a</w:t>
      </w:r>
      <w:r w:rsidR="001A3EE6">
        <w:t>ny</w:t>
      </w:r>
      <w:r>
        <w:t xml:space="preserve"> great extent by case law.</w:t>
      </w:r>
    </w:p>
    <w:p w14:paraId="57D1D703" w14:textId="77777777" w:rsidR="00E102E0" w:rsidRDefault="00E102E0" w:rsidP="00E102E0">
      <w:r>
        <w:t xml:space="preserve"> </w:t>
      </w:r>
    </w:p>
    <w:p w14:paraId="2832660F" w14:textId="77777777" w:rsidR="00E102E0" w:rsidRDefault="00E102E0" w:rsidP="00E102E0">
      <w:r>
        <w:t>There is no recent judicial guidance as to whether inhabitants would have to own a</w:t>
      </w:r>
      <w:r w:rsidR="001A3EE6">
        <w:t xml:space="preserve"> property or actually live there</w:t>
      </w:r>
      <w:r>
        <w:t xml:space="preserve">, or live there for the whole year or maybe even just work in the neighbourhood.  In one very old case of 1797, which related to the inhabitants of a parish being entitled to make use of a particular village close for lawful games and pastimes,  Mr Justice Heath ruled that renting a shop and working there twice a week was sufficient to establish inhabitancy in that matter. </w:t>
      </w:r>
    </w:p>
    <w:p w14:paraId="30820A5E" w14:textId="77777777" w:rsidR="00E102E0" w:rsidRDefault="00E102E0" w:rsidP="00E102E0"/>
    <w:p w14:paraId="07D4857A" w14:textId="77777777" w:rsidR="00E102E0" w:rsidRDefault="00E102E0" w:rsidP="00E102E0">
      <w:r>
        <w:t xml:space="preserve">It is advised that children </w:t>
      </w:r>
      <w:r w:rsidR="00A52827">
        <w:t>are</w:t>
      </w:r>
      <w:r>
        <w:t xml:space="preserve"> capable of being inhabitants.</w:t>
      </w:r>
    </w:p>
    <w:p w14:paraId="7F115E2D" w14:textId="77777777" w:rsidR="00E102E0" w:rsidRDefault="00E102E0" w:rsidP="00E102E0"/>
    <w:p w14:paraId="5856E1C7" w14:textId="77777777" w:rsidR="00E102E0" w:rsidRDefault="00E102E0" w:rsidP="00E102E0">
      <w:pPr>
        <w:rPr>
          <w:b/>
        </w:rPr>
      </w:pPr>
      <w:r>
        <w:rPr>
          <w:b/>
        </w:rPr>
        <w:t xml:space="preserve">Locality or Neighbourhood within a Locality  </w:t>
      </w:r>
    </w:p>
    <w:p w14:paraId="18206BD5" w14:textId="77777777" w:rsidR="00E102E0" w:rsidRDefault="00E102E0" w:rsidP="00E102E0"/>
    <w:p w14:paraId="2ED58A5E" w14:textId="77777777" w:rsidR="00CF49E6" w:rsidRDefault="00CF49E6" w:rsidP="00E102E0">
      <w:r>
        <w:t>if an application is advanced solely on the basis of a locality there must be a single locality and it must be identified as having legally significant boundaries</w:t>
      </w:r>
    </w:p>
    <w:p w14:paraId="512A16A2" w14:textId="77777777" w:rsidR="00CF49E6" w:rsidRDefault="00CF49E6" w:rsidP="00E102E0"/>
    <w:p w14:paraId="56B32090" w14:textId="77777777" w:rsidR="00E102E0" w:rsidRDefault="006522FC" w:rsidP="00E102E0">
      <w:r>
        <w:t xml:space="preserve"> A locality still needs</w:t>
      </w:r>
      <w:r w:rsidR="00E102E0">
        <w:t xml:space="preserve"> to be shown even though use may have been eviden</w:t>
      </w:r>
      <w:r>
        <w:t>ced as being by a neighbourhood within that locality.</w:t>
      </w:r>
    </w:p>
    <w:p w14:paraId="30F51ABE" w14:textId="77777777" w:rsidR="00E102E0" w:rsidRDefault="00E102E0" w:rsidP="00E102E0">
      <w:r>
        <w:t xml:space="preserve"> </w:t>
      </w:r>
    </w:p>
    <w:p w14:paraId="460FAA1D" w14:textId="77777777" w:rsidR="00E102E0" w:rsidRDefault="00CF49E6" w:rsidP="00E102E0">
      <w:r>
        <w:t xml:space="preserve">An area with legally significant boundaries is generally understood to </w:t>
      </w:r>
      <w:r w:rsidR="00A14041">
        <w:t>include</w:t>
      </w:r>
      <w:r>
        <w:t xml:space="preserve"> a</w:t>
      </w:r>
      <w:r w:rsidR="006522FC">
        <w:t xml:space="preserve"> borough, parish,</w:t>
      </w:r>
      <w:r w:rsidR="00A14041">
        <w:t xml:space="preserve"> or </w:t>
      </w:r>
      <w:r w:rsidR="006522FC">
        <w:t xml:space="preserve">ward .  Whether that identity be </w:t>
      </w:r>
      <w:r w:rsidR="00E102E0">
        <w:t>a civil or ecclesiastical parish, a district or unitary authori</w:t>
      </w:r>
      <w:r w:rsidR="006522FC">
        <w:t>ty would seem to be immaterial, provided it is a recognised locality known to law.</w:t>
      </w:r>
    </w:p>
    <w:p w14:paraId="61FDF220" w14:textId="77777777" w:rsidR="00E102E0" w:rsidRDefault="00E102E0" w:rsidP="00E102E0">
      <w:r>
        <w:t xml:space="preserve"> </w:t>
      </w:r>
    </w:p>
    <w:p w14:paraId="663E9C6D" w14:textId="77777777" w:rsidR="00E102E0" w:rsidRDefault="00A7415C" w:rsidP="00E102E0">
      <w:r>
        <w:t>Case law indicate that the</w:t>
      </w:r>
      <w:r w:rsidR="00E102E0">
        <w:t xml:space="preserve"> term neighbourhood</w:t>
      </w:r>
      <w:r>
        <w:t xml:space="preserve"> is a bit different. A</w:t>
      </w:r>
      <w:r w:rsidR="00E102E0">
        <w:t xml:space="preserve">lthough not required to be a unit recognisable at law, </w:t>
      </w:r>
      <w:r>
        <w:t xml:space="preserve">it </w:t>
      </w:r>
      <w:r w:rsidR="00E102E0">
        <w:t xml:space="preserve">must nevertheless be a cohesive entity.  It is not </w:t>
      </w:r>
      <w:r>
        <w:t xml:space="preserve">just </w:t>
      </w:r>
      <w:r w:rsidR="00E102E0">
        <w:t xml:space="preserve">any area of land that an applicant chooses to delineate upon a plan </w:t>
      </w:r>
      <w:r>
        <w:t xml:space="preserve">for no real reason other than it covers the areas where users live </w:t>
      </w:r>
      <w:r w:rsidR="00E102E0">
        <w:t xml:space="preserve">and the registration authority has to be satisfied that the area alleged to be a neighbourhood has a sufficient degree of cohesiveness.  </w:t>
      </w:r>
      <w:r>
        <w:t>Just because the streets shown use the green is not enough unless the area has cohesion for other reasons and capable of meaningful description.</w:t>
      </w:r>
    </w:p>
    <w:p w14:paraId="0B03E388" w14:textId="77777777" w:rsidR="00E102E0" w:rsidRDefault="00E102E0" w:rsidP="00E102E0"/>
    <w:p w14:paraId="2F3C9B65" w14:textId="77777777" w:rsidR="00E102E0" w:rsidRDefault="00E102E0" w:rsidP="00E102E0">
      <w:r>
        <w:t xml:space="preserve">The locality </w:t>
      </w:r>
      <w:r w:rsidR="000E1B01">
        <w:t xml:space="preserve">or neighbourhood </w:t>
      </w:r>
      <w:r w:rsidR="0058093D">
        <w:t>ought to be identified in the application</w:t>
      </w:r>
      <w:r w:rsidR="004C383A">
        <w:t xml:space="preserve"> form</w:t>
      </w:r>
      <w:r>
        <w:t xml:space="preserve">. </w:t>
      </w:r>
    </w:p>
    <w:p w14:paraId="43223401" w14:textId="77777777" w:rsidR="0066133B" w:rsidRDefault="0066133B" w:rsidP="00E102E0"/>
    <w:p w14:paraId="1231DAB1" w14:textId="77777777" w:rsidR="0066133B" w:rsidRDefault="0066133B" w:rsidP="00E102E0">
      <w:r>
        <w:t xml:space="preserve">It does not matter that many or even most users come from elsewhere so long as a significant number come from the locality or neighbourhood. </w:t>
      </w:r>
    </w:p>
    <w:p w14:paraId="1D9F60FD" w14:textId="77777777" w:rsidR="0066133B" w:rsidRDefault="0066133B" w:rsidP="00E102E0"/>
    <w:p w14:paraId="06589597" w14:textId="77777777" w:rsidR="00A14041" w:rsidRDefault="00A14041" w:rsidP="00E102E0">
      <w:r>
        <w:t xml:space="preserve">Where an application is advanced on the basis of use by a neighbourhood reliance can be placed by an applicant on a neighbourhood or neighbourhoods within a locality and or localities.  </w:t>
      </w:r>
    </w:p>
    <w:p w14:paraId="0F6F86DE" w14:textId="77777777" w:rsidR="00E102E0" w:rsidRDefault="00E102E0" w:rsidP="00E102E0"/>
    <w:p w14:paraId="4495B14A" w14:textId="77777777" w:rsidR="00E102E0" w:rsidRDefault="00E102E0" w:rsidP="00E102E0">
      <w:pPr>
        <w:rPr>
          <w:b/>
          <w:szCs w:val="24"/>
        </w:rPr>
      </w:pPr>
      <w:r>
        <w:rPr>
          <w:b/>
          <w:szCs w:val="24"/>
        </w:rPr>
        <w:t xml:space="preserve">Use of the Land for Lawful Sports and Pastimes </w:t>
      </w:r>
    </w:p>
    <w:p w14:paraId="3DBF3807" w14:textId="77777777" w:rsidR="00E102E0" w:rsidRDefault="00E102E0" w:rsidP="00E102E0">
      <w:pPr>
        <w:rPr>
          <w:szCs w:val="24"/>
        </w:rPr>
      </w:pPr>
    </w:p>
    <w:p w14:paraId="6BD53DB5" w14:textId="77777777" w:rsidR="00E102E0" w:rsidRDefault="00E102E0" w:rsidP="00E102E0">
      <w:r>
        <w:t>For land to be registered as a town or village green</w:t>
      </w:r>
      <w:r w:rsidR="004E07BD">
        <w:t>,</w:t>
      </w:r>
      <w:r>
        <w:t xml:space="preserve"> it must be shown that it has been used f</w:t>
      </w:r>
      <w:r w:rsidR="004E07BD">
        <w:t xml:space="preserve">or lawful sports and pastimes. They need not be </w:t>
      </w:r>
      <w:r w:rsidR="005E0A53">
        <w:t xml:space="preserve">the traditional activities that took place on </w:t>
      </w:r>
      <w:r w:rsidR="00A7415C">
        <w:t xml:space="preserve">mediaeval </w:t>
      </w:r>
      <w:r w:rsidR="005E0A53">
        <w:t xml:space="preserve">greens, but can be present day and informal activities. </w:t>
      </w:r>
      <w:r w:rsidR="00A7415C">
        <w:t>D</w:t>
      </w:r>
      <w:r>
        <w:t xml:space="preserve">og walking and playing with children were, in modern life, </w:t>
      </w:r>
      <w:r w:rsidR="005E0A53">
        <w:t xml:space="preserve">the kind of informal recreational activities </w:t>
      </w:r>
      <w:r w:rsidR="00EF265C">
        <w:t>which may be the main use</w:t>
      </w:r>
      <w:r w:rsidR="0086210C">
        <w:t xml:space="preserve"> of a village green. However, the use must be a recreational one to qualify.</w:t>
      </w:r>
    </w:p>
    <w:p w14:paraId="6EAD286F" w14:textId="77777777" w:rsidR="00AA3431" w:rsidRDefault="00AA3431" w:rsidP="00E102E0"/>
    <w:p w14:paraId="03F528E2" w14:textId="77777777" w:rsidR="00AA3431" w:rsidRDefault="00AA3431" w:rsidP="00E102E0">
      <w:r>
        <w:t>“</w:t>
      </w:r>
      <w:r w:rsidR="00A7415C">
        <w:t>S</w:t>
      </w:r>
      <w:r>
        <w:t>ports and pastimes” is a single composite class and not two separate classes of activity.</w:t>
      </w:r>
      <w:r w:rsidR="00D400C4">
        <w:t xml:space="preserve"> It is sufficient if an activity is either a lawful sport or pastime for it to fall within that composite class.</w:t>
      </w:r>
    </w:p>
    <w:p w14:paraId="6F2E11A2" w14:textId="77777777" w:rsidR="0086210C" w:rsidRDefault="0086210C" w:rsidP="00E102E0"/>
    <w:p w14:paraId="55676225" w14:textId="77777777" w:rsidR="00E021F6" w:rsidRDefault="0015553C" w:rsidP="00E021F6">
      <w:r>
        <w:t>The use of the land for lawful sports and pastimes m</w:t>
      </w:r>
      <w:r w:rsidR="00A7415C">
        <w:t>ight</w:t>
      </w:r>
      <w:r>
        <w:t xml:space="preserve"> be distinguished from the use of a right of way over the land or walking along an identified track. </w:t>
      </w:r>
      <w:r w:rsidR="00A7415C">
        <w:t xml:space="preserve">Where </w:t>
      </w:r>
      <w:r w:rsidR="00237F38">
        <w:t xml:space="preserve">there are tracks across the land their use may be a qualifying use for either a public footpath or for a green or both. </w:t>
      </w:r>
      <w:r w:rsidR="00A7415C">
        <w:t>In a 2016 case use of a track may be indicative of the right to indulge in activity across the whole of the land.</w:t>
      </w:r>
      <w:r w:rsidR="00E021F6">
        <w:t xml:space="preserve"> In another case extensive activity around the edge of an application site or on parts of an application site only would possibly not be sufficient to confer green status on the interior of the application site or on other parts of it.</w:t>
      </w:r>
    </w:p>
    <w:p w14:paraId="7A2D0DAA" w14:textId="77777777" w:rsidR="00287901" w:rsidRDefault="00287901" w:rsidP="00287901"/>
    <w:p w14:paraId="2D722600" w14:textId="77777777" w:rsidR="00E102E0" w:rsidRDefault="00E102E0" w:rsidP="00E102E0">
      <w:r>
        <w:t>It is suggested that lawful sports and pastimes have to be established as regular use</w:t>
      </w:r>
      <w:r w:rsidR="009E02F5">
        <w:t>s</w:t>
      </w:r>
      <w:r>
        <w:t xml:space="preserve"> over the whole of the site.  In the Cheltenham Builders case, the site had been so overgrown in places that it could not have been </w:t>
      </w:r>
      <w:r w:rsidR="009E02F5">
        <w:t xml:space="preserve">so </w:t>
      </w:r>
      <w:r>
        <w:t>used</w:t>
      </w:r>
      <w:r w:rsidR="009E02F5">
        <w:t>,</w:t>
      </w:r>
      <w:r>
        <w:t xml:space="preserve"> and in the Laing Home case in 2003, there had been established footpaths around the edge of the site </w:t>
      </w:r>
      <w:r w:rsidR="009E02F5">
        <w:t xml:space="preserve">which had been used, </w:t>
      </w:r>
      <w:r>
        <w:t>but less evidence as to the use of the remainder of it.</w:t>
      </w:r>
    </w:p>
    <w:p w14:paraId="0F288F91" w14:textId="77777777" w:rsidR="00E102E0" w:rsidRDefault="00E102E0" w:rsidP="00E102E0">
      <w:r>
        <w:t xml:space="preserve">  </w:t>
      </w:r>
    </w:p>
    <w:p w14:paraId="22185EAE" w14:textId="77777777" w:rsidR="00E102E0" w:rsidRDefault="00E102E0" w:rsidP="00E021F6">
      <w:r>
        <w:t xml:space="preserve">The Courts have held that a common sense approach should be adopted to consider whether for all practical purposes the whole of the site has been used to such an extent as to indicate the assertion of a continuous right. The question in all cases should be how a reasonable landowner would have interpreted the use made of his land. </w:t>
      </w:r>
    </w:p>
    <w:p w14:paraId="1BF50B1C" w14:textId="77777777" w:rsidR="00E102E0" w:rsidRDefault="00E102E0" w:rsidP="00E102E0">
      <w:r>
        <w:t xml:space="preserve">  </w:t>
      </w:r>
    </w:p>
    <w:p w14:paraId="22B7F91B" w14:textId="77777777" w:rsidR="00E102E0" w:rsidRDefault="00E102E0" w:rsidP="00E102E0">
      <w:r>
        <w:t xml:space="preserve">There is an element of fact and degree when considering what parts have been used.  It may not be essential to show that lawful sports and pastimes have taken place within an overgrown thicket, provided they have taken place all round it. </w:t>
      </w:r>
    </w:p>
    <w:p w14:paraId="06DC42AD" w14:textId="77777777" w:rsidR="00106353" w:rsidRDefault="00106353" w:rsidP="00E102E0"/>
    <w:p w14:paraId="4AF68D5C" w14:textId="77777777" w:rsidR="00E102E0" w:rsidRDefault="00E102E0" w:rsidP="00E102E0">
      <w:r>
        <w:t xml:space="preserve">The recreational use must </w:t>
      </w:r>
      <w:r w:rsidR="007D6FFB">
        <w:t xml:space="preserve">be continuous and </w:t>
      </w:r>
      <w:r>
        <w:t xml:space="preserve">not have suffered a </w:t>
      </w:r>
      <w:r w:rsidR="00106353">
        <w:t>material</w:t>
      </w:r>
      <w:r>
        <w:t xml:space="preserve"> interruption </w:t>
      </w:r>
      <w:r w:rsidR="00106353">
        <w:t xml:space="preserve">throughout the twenty year period, </w:t>
      </w:r>
      <w:r>
        <w:t>although no-one expects the local inhabitants to indulge in lawful sports and pastimes every day for 24 hours throughout the twenty year period. There will be days when no lawful sports and pastimes take place at all</w:t>
      </w:r>
      <w:r w:rsidR="004915CD">
        <w:t>,</w:t>
      </w:r>
      <w:r>
        <w:t xml:space="preserve"> but it is advised that an intermission is not the same as an interruption. </w:t>
      </w:r>
    </w:p>
    <w:p w14:paraId="6F99EA32" w14:textId="77777777" w:rsidR="00E102E0" w:rsidRDefault="00E102E0" w:rsidP="00E102E0"/>
    <w:p w14:paraId="7EBA6FF4" w14:textId="77777777" w:rsidR="00E102E0" w:rsidRDefault="00E102E0" w:rsidP="00E102E0">
      <w:r>
        <w:t>It is suggested that the use must be sufficiently frequent</w:t>
      </w:r>
      <w:r w:rsidR="004915CD">
        <w:t xml:space="preserve"> and not merely sporadic in nature. </w:t>
      </w:r>
      <w:r w:rsidR="007D6FFB">
        <w:t xml:space="preserve">It must give the landowner the appearance that rights of a continuous nature are being asserted. </w:t>
      </w:r>
      <w:r w:rsidR="004915CD">
        <w:t>Moreover,</w:t>
      </w:r>
      <w:r>
        <w:t xml:space="preserve"> at times when </w:t>
      </w:r>
      <w:r w:rsidR="004915CD">
        <w:t>the lawful sports and pastimes we</w:t>
      </w:r>
      <w:r>
        <w:t>re not being carried out, there must have been nothing else taking place on the land which would have prevented them</w:t>
      </w:r>
      <w:r w:rsidR="004915CD">
        <w:t xml:space="preserve"> taking place</w:t>
      </w:r>
      <w:r>
        <w:t xml:space="preserve">. </w:t>
      </w:r>
    </w:p>
    <w:p w14:paraId="5165E424" w14:textId="77777777" w:rsidR="00E102E0" w:rsidRDefault="00E102E0" w:rsidP="00E102E0"/>
    <w:p w14:paraId="4CEE26B3" w14:textId="77777777" w:rsidR="00E102E0" w:rsidRDefault="00E102E0" w:rsidP="00E102E0">
      <w:r>
        <w:t>Use can be continuous even if there are periods when in practice the land is inaccessible, for instance i</w:t>
      </w:r>
      <w:r w:rsidR="004915CD">
        <w:t xml:space="preserve">f there was flooding. However, </w:t>
      </w:r>
      <w:r>
        <w:t xml:space="preserve">it is a different matter if the land is inaccessible </w:t>
      </w:r>
      <w:r>
        <w:lastRenderedPageBreak/>
        <w:t>because of physical activities carried out by the landowner, e.g.</w:t>
      </w:r>
      <w:r w:rsidR="004915CD">
        <w:t xml:space="preserve"> engineering works, which are inconsistent with the use of the land for lawful sports and pastimes.</w:t>
      </w:r>
      <w:r>
        <w:t xml:space="preserve"> </w:t>
      </w:r>
    </w:p>
    <w:p w14:paraId="674F70E6" w14:textId="77777777" w:rsidR="00E102E0" w:rsidRDefault="00E102E0" w:rsidP="00E102E0"/>
    <w:p w14:paraId="6DAB1985" w14:textId="77777777" w:rsidR="00117322" w:rsidRDefault="00117322" w:rsidP="00E102E0">
      <w:r>
        <w:t>Use of tracks across the land will possibly only be refereable to building up a public right of way and each application will need to be considered carefully with careful cross examination of users to determine where they go on the land and for what purpose.</w:t>
      </w:r>
    </w:p>
    <w:p w14:paraId="57FEE7B8" w14:textId="77777777" w:rsidR="00117322" w:rsidRDefault="00117322" w:rsidP="00E102E0"/>
    <w:p w14:paraId="690C66F7" w14:textId="77777777" w:rsidR="00E102E0" w:rsidRDefault="00E102E0" w:rsidP="00E102E0">
      <w:pPr>
        <w:rPr>
          <w:b/>
          <w:szCs w:val="24"/>
        </w:rPr>
      </w:pPr>
      <w:r>
        <w:rPr>
          <w:b/>
          <w:szCs w:val="24"/>
        </w:rPr>
        <w:t xml:space="preserve">Use must be “As of Right”  </w:t>
      </w:r>
    </w:p>
    <w:p w14:paraId="1BD70BDE" w14:textId="77777777" w:rsidR="00E102E0" w:rsidRDefault="00E102E0" w:rsidP="00E102E0">
      <w:pPr>
        <w:rPr>
          <w:b/>
          <w:szCs w:val="24"/>
        </w:rPr>
      </w:pPr>
    </w:p>
    <w:p w14:paraId="23EEF9F9" w14:textId="77777777" w:rsidR="00E102E0" w:rsidRDefault="006242BA" w:rsidP="00E102E0">
      <w:r>
        <w:t>For a use to be “as</w:t>
      </w:r>
      <w:r w:rsidR="00E102E0">
        <w:t xml:space="preserve"> of right</w:t>
      </w:r>
      <w:r>
        <w:t xml:space="preserve">”, </w:t>
      </w:r>
      <w:r w:rsidR="00652C29">
        <w:t>it must be exercised without</w:t>
      </w:r>
      <w:r w:rsidR="00E102E0">
        <w:t xml:space="preserve"> force, </w:t>
      </w:r>
      <w:r w:rsidR="00652C29">
        <w:t>without</w:t>
      </w:r>
      <w:r w:rsidR="00E102E0">
        <w:t xml:space="preserve"> secrecy </w:t>
      </w:r>
      <w:r w:rsidR="00652C29">
        <w:t xml:space="preserve">and without </w:t>
      </w:r>
      <w:r w:rsidR="00E102E0">
        <w:t>permission.</w:t>
      </w:r>
      <w:r w:rsidR="00136DF9">
        <w:t xml:space="preserve"> User must also be such as to give the outward appearance that the use is being asserted and claimed as of right</w:t>
      </w:r>
      <w:r w:rsidR="00117322">
        <w:t xml:space="preserve"> – openly and in the manner that a person rightfully entitled would have used it</w:t>
      </w:r>
      <w:r w:rsidR="00E37F45">
        <w:t>.</w:t>
      </w:r>
      <w:r w:rsidR="00136DF9">
        <w:t xml:space="preserve"> </w:t>
      </w:r>
    </w:p>
    <w:p w14:paraId="21F89362" w14:textId="77777777" w:rsidR="00136DF9" w:rsidRDefault="00136DF9" w:rsidP="00E102E0"/>
    <w:p w14:paraId="583AECD8" w14:textId="77777777" w:rsidR="00E102E0" w:rsidRDefault="00E102E0" w:rsidP="00E102E0">
      <w:r>
        <w:t xml:space="preserve">Use by force would possibly be use which is carried out </w:t>
      </w:r>
      <w:r w:rsidR="00117322">
        <w:t>b</w:t>
      </w:r>
      <w:r>
        <w:t xml:space="preserve">y climbing a locked gate </w:t>
      </w:r>
      <w:r w:rsidR="00117322">
        <w:t>or where fences and prohibitory signage are torn down or ignored. I</w:t>
      </w:r>
      <w:r>
        <w:t>t would probably be use by force</w:t>
      </w:r>
      <w:r w:rsidR="00E021F6">
        <w:t xml:space="preserve"> if use is</w:t>
      </w:r>
      <w:r w:rsidR="00117322">
        <w:t xml:space="preserve"> contentious or allowed under protest. User may be contentious when the landowner is doing everthing consistent with his means and proportionately to the user to contest and endeavour to interrupt the user.</w:t>
      </w:r>
      <w:r w:rsidR="00792EA3">
        <w:t xml:space="preserve"> What the users understood from the signage or notice is relevant. </w:t>
      </w:r>
      <w:r>
        <w:t>The actions of the landowner in previous applications about the land may also be relevant.</w:t>
      </w:r>
    </w:p>
    <w:p w14:paraId="679CF6EE" w14:textId="77777777" w:rsidR="00480178" w:rsidRDefault="00480178" w:rsidP="00E102E0"/>
    <w:p w14:paraId="0BB9E7D9" w14:textId="77777777" w:rsidR="00480178" w:rsidRDefault="00480178" w:rsidP="00E102E0">
      <w:r>
        <w:t>Use by secrecy could occur if the land was used at times and in a manner that a landowner could not expect to be aware of it, such as during hours of darkness</w:t>
      </w:r>
      <w:r w:rsidR="00792EA3">
        <w:t xml:space="preserve"> when landowner was away</w:t>
      </w:r>
      <w:r>
        <w:t>.</w:t>
      </w:r>
    </w:p>
    <w:p w14:paraId="76002C12" w14:textId="77777777" w:rsidR="00E102E0" w:rsidRDefault="00E102E0" w:rsidP="00E102E0"/>
    <w:p w14:paraId="7FA7B03D" w14:textId="77777777" w:rsidR="00792EA3" w:rsidRDefault="00480178" w:rsidP="00E102E0">
      <w:r>
        <w:t>Use by permission can be as a result of either express or implied consent from the landowner.</w:t>
      </w:r>
    </w:p>
    <w:p w14:paraId="5F20FE2F" w14:textId="77777777" w:rsidR="00792EA3" w:rsidRDefault="00792EA3" w:rsidP="00E102E0"/>
    <w:p w14:paraId="0FC42BD1" w14:textId="77777777" w:rsidR="006A73D7" w:rsidRDefault="00E102E0" w:rsidP="00E102E0">
      <w:r>
        <w:t>Express consent, whether oral or in writing to go on the land</w:t>
      </w:r>
      <w:r w:rsidR="006A73D7">
        <w:t>,</w:t>
      </w:r>
      <w:r>
        <w:t xml:space="preserve"> would cause </w:t>
      </w:r>
      <w:r w:rsidR="006A73D7">
        <w:t xml:space="preserve">the </w:t>
      </w:r>
      <w:r>
        <w:t>use to be with permission and therefore not as of right. Since the Beresford case heard by the House of Lords in 2003, it is likely that such express consent would have to have been actually communicated to the user</w:t>
      </w:r>
      <w:r w:rsidR="00792EA3">
        <w:t xml:space="preserve"> and be revocable or time limited</w:t>
      </w:r>
    </w:p>
    <w:p w14:paraId="73D1A320" w14:textId="77777777" w:rsidR="00E021F6" w:rsidRDefault="00E021F6" w:rsidP="00E102E0"/>
    <w:p w14:paraId="4C6BF74A" w14:textId="77777777" w:rsidR="00011DE7" w:rsidRDefault="006A73D7" w:rsidP="00011DE7">
      <w:r>
        <w:t xml:space="preserve">An implied permission to use land can arise where a landowner’s conduct is such that it makes it clear to users that the use of his land is pursuant to his permission. permission could not be implied from mere inaction on the part of the landowner </w:t>
      </w:r>
    </w:p>
    <w:p w14:paraId="64FAA4AD" w14:textId="77777777" w:rsidR="00E102E0" w:rsidRDefault="00E102E0" w:rsidP="00E102E0">
      <w:r>
        <w:t xml:space="preserve"> </w:t>
      </w:r>
    </w:p>
    <w:p w14:paraId="7E8C7608" w14:textId="77777777" w:rsidR="003C3AF5" w:rsidRDefault="003C3AF5" w:rsidP="003C3AF5">
      <w:r>
        <w:t>Instead, for permission to be implied, a landowner needs to take some positive act</w:t>
      </w:r>
      <w:r w:rsidR="00A5625C">
        <w:t>s</w:t>
      </w:r>
      <w:r>
        <w:t xml:space="preserve"> to make users aware that their use of his land is with his permission</w:t>
      </w:r>
      <w:r w:rsidR="00792EA3">
        <w:t>.</w:t>
      </w:r>
      <w:r>
        <w:t xml:space="preserve"> It appears that what</w:t>
      </w:r>
      <w:r w:rsidR="00A5625C">
        <w:t xml:space="preserve"> is required is overt conduct by</w:t>
      </w:r>
      <w:r>
        <w:t xml:space="preserve"> the landowner such as making a charge for admission or asserting his title by the occasion</w:t>
      </w:r>
      <w:r w:rsidR="00963330">
        <w:t>al closure of land to allcomers or erecting appropriate signs</w:t>
      </w:r>
      <w:r>
        <w:t xml:space="preserve"> demonstrating that a</w:t>
      </w:r>
      <w:r w:rsidR="00A5625C">
        <w:t xml:space="preserve">ccess to the land depends </w:t>
      </w:r>
      <w:r w:rsidR="00457E5F">
        <w:t>up</w:t>
      </w:r>
      <w:r w:rsidR="00A5625C">
        <w:t>on his</w:t>
      </w:r>
      <w:r>
        <w:t xml:space="preserve"> permission. </w:t>
      </w:r>
    </w:p>
    <w:p w14:paraId="6D991467" w14:textId="77777777" w:rsidR="00FC0141" w:rsidRDefault="00FC0141" w:rsidP="00E102E0"/>
    <w:p w14:paraId="24B0AB3B" w14:textId="77777777" w:rsidR="00E102E0" w:rsidRDefault="00E102E0" w:rsidP="00E102E0">
      <w:r>
        <w:t>I</w:t>
      </w:r>
      <w:r w:rsidR="00766DCD">
        <w:t xml:space="preserve">t is advised that use by permission </w:t>
      </w:r>
      <w:r>
        <w:t xml:space="preserve">for </w:t>
      </w:r>
      <w:r w:rsidR="006A73D7">
        <w:t xml:space="preserve">even </w:t>
      </w:r>
      <w:r>
        <w:t>a short perio</w:t>
      </w:r>
      <w:r w:rsidR="006A73D7">
        <w:t>d might be sufficient to stop</w:t>
      </w:r>
      <w:r>
        <w:t xml:space="preserve"> a twenty year period of </w:t>
      </w:r>
      <w:r w:rsidR="006A73D7">
        <w:t>use “as of right</w:t>
      </w:r>
      <w:r>
        <w:t xml:space="preserve">” </w:t>
      </w:r>
      <w:r w:rsidR="006A73D7">
        <w:t xml:space="preserve">from </w:t>
      </w:r>
      <w:r>
        <w:t xml:space="preserve">running, although a new </w:t>
      </w:r>
      <w:r w:rsidR="006A73D7">
        <w:t xml:space="preserve">twenty year </w:t>
      </w:r>
      <w:r>
        <w:t>period of lawful sports and pastimes can recommence as soon as the period of permitted use ceases.</w:t>
      </w:r>
      <w:r w:rsidR="00766DCD">
        <w:t xml:space="preserve"> Hence, to </w:t>
      </w:r>
      <w:r>
        <w:t xml:space="preserve">prevent the accrual of </w:t>
      </w:r>
      <w:r w:rsidR="00120AD8">
        <w:t xml:space="preserve">the </w:t>
      </w:r>
      <w:r>
        <w:t xml:space="preserve">right, it would not be necessary for a notice prohibiting entry or granting permission by the owner to remain in place throughout the twenty year period. </w:t>
      </w:r>
      <w:r w:rsidR="00792EA3">
        <w:t xml:space="preserve">Local inhabitants excluded from parts of the land when ticketed festivals </w:t>
      </w:r>
      <w:r w:rsidR="00877956">
        <w:t xml:space="preserve">or a cordoned off funfair was held </w:t>
      </w:r>
      <w:r w:rsidR="00792EA3">
        <w:t>on only a few occasions</w:t>
      </w:r>
      <w:r w:rsidR="00877956">
        <w:t xml:space="preserve"> meant that the application failed. The landowner had permitted the land to be used for his private purposes and by his conduct had demonstated to the public that their use was permissive.</w:t>
      </w:r>
    </w:p>
    <w:p w14:paraId="28A5BAFF" w14:textId="77777777" w:rsidR="00E102E0" w:rsidRDefault="00E102E0" w:rsidP="00E102E0"/>
    <w:p w14:paraId="790383D4" w14:textId="77777777" w:rsidR="00E021F6" w:rsidRDefault="00877956" w:rsidP="00E102E0">
      <w:r>
        <w:lastRenderedPageBreak/>
        <w:t xml:space="preserve">User </w:t>
      </w:r>
      <w:r w:rsidR="00E021F6">
        <w:t>"</w:t>
      </w:r>
      <w:r>
        <w:t>as of right</w:t>
      </w:r>
      <w:r w:rsidR="00E021F6">
        <w:t>"</w:t>
      </w:r>
      <w:r>
        <w:t xml:space="preserve"> cannot be established if the use is actually “by right” under a statutory right to do so. Land held </w:t>
      </w:r>
      <w:r w:rsidR="004E23C9">
        <w:t xml:space="preserve">expressly </w:t>
      </w:r>
      <w:r>
        <w:t>as open space under the Open Spaces Act 1906 is held under</w:t>
      </w:r>
      <w:r w:rsidR="004E23C9">
        <w:t xml:space="preserve"> </w:t>
      </w:r>
      <w:r>
        <w:t>a rec</w:t>
      </w:r>
      <w:r w:rsidR="004E23C9">
        <w:t>r</w:t>
      </w:r>
      <w:r>
        <w:t>eation trust and not able to be registered.</w:t>
      </w:r>
    </w:p>
    <w:p w14:paraId="16E548E4" w14:textId="77777777" w:rsidR="00E102E0" w:rsidRDefault="00877956" w:rsidP="00E102E0">
      <w:r>
        <w:t>If land is held under a statute for rec</w:t>
      </w:r>
      <w:r w:rsidR="004E23C9">
        <w:t>r</w:t>
      </w:r>
      <w:r>
        <w:t xml:space="preserve">eation, playing field, gardens etc careful consideration as to whether use is “by right” will be required. </w:t>
      </w:r>
      <w:r w:rsidR="00E021F6">
        <w:t xml:space="preserve">Land held under </w:t>
      </w:r>
      <w:r>
        <w:t>The Open Spaces Act is one Act to consider but also the Physical training and recreation Act 1937</w:t>
      </w:r>
      <w:r w:rsidR="004E23C9">
        <w:t xml:space="preserve"> and Public Health Act  1875 and possibly </w:t>
      </w:r>
      <w:r w:rsidR="00E021F6">
        <w:t>Housing Acts</w:t>
      </w:r>
      <w:r w:rsidR="004E23C9">
        <w:t xml:space="preserve"> and byelaws or church measures. </w:t>
      </w:r>
    </w:p>
    <w:p w14:paraId="752A0374" w14:textId="77777777" w:rsidR="00E021F6" w:rsidRDefault="00E021F6" w:rsidP="00E102E0"/>
    <w:p w14:paraId="67D374EC" w14:textId="77777777" w:rsidR="00E021F6" w:rsidRDefault="00E021F6" w:rsidP="00E102E0">
      <w:r>
        <w:t>Evidence of the statutory holding power will be needed.</w:t>
      </w:r>
    </w:p>
    <w:p w14:paraId="36395E46" w14:textId="77777777" w:rsidR="00877956" w:rsidRDefault="00877956" w:rsidP="00E102E0"/>
    <w:p w14:paraId="51E2636B" w14:textId="77777777" w:rsidR="00877956" w:rsidRDefault="00877956" w:rsidP="00E102E0"/>
    <w:p w14:paraId="750CDE5A" w14:textId="77777777" w:rsidR="00E021F6" w:rsidRDefault="00E021F6" w:rsidP="00E102E0">
      <w:pPr>
        <w:rPr>
          <w:b/>
          <w:szCs w:val="24"/>
        </w:rPr>
      </w:pPr>
      <w:r>
        <w:rPr>
          <w:b/>
          <w:szCs w:val="24"/>
        </w:rPr>
        <w:t>Statutory Incompatibility</w:t>
      </w:r>
    </w:p>
    <w:p w14:paraId="09BB24C6" w14:textId="12584642" w:rsidR="00E021F6" w:rsidRDefault="00E021F6" w:rsidP="00E102E0">
      <w:pPr>
        <w:rPr>
          <w:b/>
          <w:szCs w:val="24"/>
        </w:rPr>
      </w:pPr>
    </w:p>
    <w:p w14:paraId="31A020BA" w14:textId="31EFC8D8" w:rsidR="00F578BD" w:rsidRPr="00F578BD" w:rsidRDefault="00F578BD" w:rsidP="00F578BD">
      <w:pPr>
        <w:rPr>
          <w:rFonts w:cs="Arial"/>
          <w:color w:val="000000" w:themeColor="text1"/>
          <w:szCs w:val="22"/>
        </w:rPr>
      </w:pPr>
      <w:r>
        <w:rPr>
          <w:rFonts w:cs="Arial"/>
          <w:szCs w:val="22"/>
        </w:rPr>
        <w:t>T</w:t>
      </w:r>
      <w:r w:rsidRPr="00F578BD">
        <w:rPr>
          <w:rFonts w:cs="Arial"/>
          <w:szCs w:val="22"/>
        </w:rPr>
        <w:t>he issue of statutory compatibility has r</w:t>
      </w:r>
      <w:r>
        <w:rPr>
          <w:rFonts w:cs="Arial"/>
          <w:szCs w:val="22"/>
        </w:rPr>
        <w:t>ecently been considered at the Supreme C</w:t>
      </w:r>
      <w:r w:rsidRPr="00F578BD">
        <w:rPr>
          <w:rFonts w:cs="Arial"/>
          <w:szCs w:val="22"/>
        </w:rPr>
        <w:t>ourt</w:t>
      </w:r>
      <w:r>
        <w:rPr>
          <w:rFonts w:cs="Arial"/>
          <w:szCs w:val="22"/>
        </w:rPr>
        <w:t>. The</w:t>
      </w:r>
      <w:r w:rsidRPr="00F578BD">
        <w:rPr>
          <w:rFonts w:cs="Arial"/>
          <w:szCs w:val="22"/>
        </w:rPr>
        <w:t xml:space="preserve"> court held that land cannot </w:t>
      </w:r>
      <w:r w:rsidRPr="00F578BD">
        <w:rPr>
          <w:rFonts w:cs="Arial"/>
          <w:color w:val="000000" w:themeColor="text1"/>
          <w:szCs w:val="22"/>
        </w:rPr>
        <w:t xml:space="preserve">be registered as </w:t>
      </w:r>
      <w:r>
        <w:rPr>
          <w:rFonts w:cs="Arial"/>
          <w:color w:val="000000" w:themeColor="text1"/>
          <w:szCs w:val="22"/>
        </w:rPr>
        <w:t xml:space="preserve">a </w:t>
      </w:r>
      <w:r w:rsidRPr="00F578BD">
        <w:rPr>
          <w:rFonts w:cs="Arial"/>
          <w:color w:val="000000" w:themeColor="text1"/>
          <w:szCs w:val="22"/>
        </w:rPr>
        <w:t>town or village green under the Commons Act 2006 if held by the authorities for defined statutory purposes under general acts of pa</w:t>
      </w:r>
      <w:r>
        <w:rPr>
          <w:rFonts w:cs="Arial"/>
          <w:color w:val="000000" w:themeColor="text1"/>
          <w:szCs w:val="22"/>
        </w:rPr>
        <w:t>rliament, as registration as a town or village green</w:t>
      </w:r>
      <w:r w:rsidRPr="00F578BD">
        <w:rPr>
          <w:rFonts w:cs="Arial"/>
          <w:color w:val="000000" w:themeColor="text1"/>
          <w:szCs w:val="22"/>
        </w:rPr>
        <w:t xml:space="preserve"> would be in conflict with those statutory purposes.</w:t>
      </w:r>
    </w:p>
    <w:p w14:paraId="6407BB98" w14:textId="1EC2BE52" w:rsidR="009054B7" w:rsidRPr="00F578BD" w:rsidRDefault="009054B7" w:rsidP="00E102E0">
      <w:pPr>
        <w:rPr>
          <w:color w:val="000000" w:themeColor="text1"/>
          <w:szCs w:val="24"/>
        </w:rPr>
      </w:pPr>
    </w:p>
    <w:p w14:paraId="181E6F50" w14:textId="77777777" w:rsidR="00E021F6" w:rsidRDefault="00E021F6" w:rsidP="00E102E0">
      <w:pPr>
        <w:rPr>
          <w:b/>
          <w:szCs w:val="24"/>
        </w:rPr>
      </w:pPr>
    </w:p>
    <w:p w14:paraId="62A11E83" w14:textId="77777777" w:rsidR="00E102E0" w:rsidRDefault="004E23C9" w:rsidP="00E102E0">
      <w:pPr>
        <w:rPr>
          <w:b/>
          <w:szCs w:val="24"/>
        </w:rPr>
      </w:pPr>
      <w:r>
        <w:rPr>
          <w:b/>
          <w:szCs w:val="24"/>
        </w:rPr>
        <w:t>E</w:t>
      </w:r>
      <w:r w:rsidR="00E102E0">
        <w:rPr>
          <w:b/>
          <w:szCs w:val="24"/>
        </w:rPr>
        <w:t>ffect of Registration</w:t>
      </w:r>
    </w:p>
    <w:p w14:paraId="5A1C683F" w14:textId="77777777" w:rsidR="00E102E0" w:rsidRDefault="00E102E0" w:rsidP="00E102E0">
      <w:pPr>
        <w:rPr>
          <w:b/>
          <w:szCs w:val="24"/>
        </w:rPr>
      </w:pPr>
    </w:p>
    <w:p w14:paraId="0ED81EDE" w14:textId="77777777" w:rsidR="00E102E0" w:rsidRDefault="00FA2A03" w:rsidP="00E102E0">
      <w:r>
        <w:t xml:space="preserve">One of the </w:t>
      </w:r>
      <w:r w:rsidR="00E102E0">
        <w:t>most important effect</w:t>
      </w:r>
      <w:r>
        <w:t>s</w:t>
      </w:r>
      <w:r w:rsidR="00E102E0">
        <w:t xml:space="preserve"> of registration in practice is that it impedes development. </w:t>
      </w:r>
    </w:p>
    <w:p w14:paraId="1424E64B" w14:textId="77777777" w:rsidR="00E102E0" w:rsidRDefault="00E102E0" w:rsidP="00E102E0"/>
    <w:p w14:paraId="66A39533" w14:textId="77777777" w:rsidR="00E102E0" w:rsidRDefault="00E102E0" w:rsidP="00E102E0">
      <w:r>
        <w:t>Under the Enclosure Act 1857</w:t>
      </w:r>
      <w:r w:rsidR="008756AB">
        <w:t>,</w:t>
      </w:r>
      <w:r>
        <w:t xml:space="preserve"> it is an offence to do any act whatsoever to interrupt the use or enjoyment of a town or village green as a place for exercise or recreation.  Secondly, the Commons Act 1876 provides that any enclosure or encroachment of a town or village green is a public nuisance and thus a criminal offence actionabl</w:t>
      </w:r>
      <w:r w:rsidR="008756AB">
        <w:t xml:space="preserve">e by any claimant who can show </w:t>
      </w:r>
      <w:r>
        <w:t xml:space="preserve">special damage.  </w:t>
      </w:r>
    </w:p>
    <w:p w14:paraId="2C9FAA15" w14:textId="77777777" w:rsidR="00E102E0" w:rsidRDefault="00E102E0" w:rsidP="00E102E0"/>
    <w:p w14:paraId="044CB855" w14:textId="77777777" w:rsidR="00E102E0" w:rsidRDefault="00E102E0" w:rsidP="00E102E0">
      <w:r>
        <w:t>Lord Justice Pill in the Steed case stated that it was no trivial matter for a landowner to have land registered as a Green.</w:t>
      </w:r>
    </w:p>
    <w:p w14:paraId="0E483A0C" w14:textId="77777777" w:rsidR="00E102E0" w:rsidRDefault="00E102E0" w:rsidP="00E102E0"/>
    <w:p w14:paraId="03E79570" w14:textId="77777777" w:rsidR="00D60F3D" w:rsidRDefault="008756AB" w:rsidP="00E102E0">
      <w:r>
        <w:t>It wa</w:t>
      </w:r>
      <w:r w:rsidR="00E102E0">
        <w:t>s the view of the Court in the Oxfordshire c</w:t>
      </w:r>
      <w:r>
        <w:t>ase that the registration of a g</w:t>
      </w:r>
      <w:r w:rsidR="00E102E0">
        <w:t>reen coming into existence since 1970</w:t>
      </w:r>
      <w:r>
        <w:t xml:space="preserve"> does</w:t>
      </w:r>
      <w:r w:rsidR="00E102E0">
        <w:t xml:space="preserve"> establish “rights” for the local inhabitants</w:t>
      </w:r>
      <w:r>
        <w:t xml:space="preserve"> to use the land for recreational purposes and the nineteenth century statutory provisions do still apply to such new greens. </w:t>
      </w:r>
    </w:p>
    <w:p w14:paraId="665C8A34" w14:textId="77777777" w:rsidR="004A4C29" w:rsidRDefault="004A4C29" w:rsidP="00E102E0"/>
    <w:p w14:paraId="072EE6A7" w14:textId="77777777" w:rsidR="004A4C29" w:rsidRDefault="004A4C29" w:rsidP="00E102E0"/>
    <w:p w14:paraId="2D534E84" w14:textId="77777777" w:rsidR="004A4C29" w:rsidRDefault="004A4C29" w:rsidP="00E102E0"/>
    <w:p w14:paraId="6FF7DA1E" w14:textId="77777777" w:rsidR="004A4C29" w:rsidRPr="00E102E0" w:rsidRDefault="004A4C29" w:rsidP="00E102E0">
      <w:r>
        <w:tab/>
      </w:r>
      <w:r>
        <w:tab/>
      </w:r>
      <w:r>
        <w:tab/>
      </w:r>
      <w:r>
        <w:tab/>
      </w:r>
      <w:r>
        <w:tab/>
      </w:r>
      <w:r>
        <w:tab/>
      </w:r>
      <w:r>
        <w:tab/>
      </w:r>
      <w:r>
        <w:tab/>
      </w:r>
      <w:r>
        <w:tab/>
      </w:r>
      <w:r>
        <w:tab/>
      </w:r>
      <w:r>
        <w:tab/>
      </w:r>
    </w:p>
    <w:sectPr w:rsidR="004A4C29" w:rsidRPr="00E102E0" w:rsidSect="00C57977">
      <w:footerReference w:type="default" r:id="rId7"/>
      <w:pgSz w:w="11909" w:h="16834" w:code="9"/>
      <w:pgMar w:top="1418" w:right="1440" w:bottom="1440" w:left="1440" w:header="720"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81DAA" w16cid:durableId="20EC122A"/>
  <w16cid:commentId w16cid:paraId="6155DF87" w16cid:durableId="20EC63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7C4C" w14:textId="77777777" w:rsidR="00E94D46" w:rsidRDefault="00E94D46">
      <w:r>
        <w:separator/>
      </w:r>
    </w:p>
  </w:endnote>
  <w:endnote w:type="continuationSeparator" w:id="0">
    <w:p w14:paraId="56A2881A" w14:textId="77777777" w:rsidR="00E94D46" w:rsidRDefault="00E9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6B74" w14:textId="77777777" w:rsidR="00792EA3" w:rsidRDefault="00792EA3">
    <w:pPr>
      <w:pStyle w:val="Footer"/>
      <w:rPr>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5ACF" w14:textId="77777777" w:rsidR="00E94D46" w:rsidRDefault="00E94D46">
      <w:r>
        <w:separator/>
      </w:r>
    </w:p>
  </w:footnote>
  <w:footnote w:type="continuationSeparator" w:id="0">
    <w:p w14:paraId="3E9B9595" w14:textId="77777777" w:rsidR="00E94D46" w:rsidRDefault="00E9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2DAE"/>
    <w:multiLevelType w:val="hybridMultilevel"/>
    <w:tmpl w:val="4BB85DDE"/>
    <w:lvl w:ilvl="0" w:tplc="C332E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95D89"/>
    <w:multiLevelType w:val="hybridMultilevel"/>
    <w:tmpl w:val="F1887A6A"/>
    <w:lvl w:ilvl="0" w:tplc="60F61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87166"/>
    <w:multiLevelType w:val="hybridMultilevel"/>
    <w:tmpl w:val="7BC22FCC"/>
    <w:lvl w:ilvl="0" w:tplc="86F6F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F3A0D"/>
    <w:multiLevelType w:val="hybridMultilevel"/>
    <w:tmpl w:val="8382A63A"/>
    <w:lvl w:ilvl="0" w:tplc="87F67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0"/>
    <w:rsid w:val="000111CF"/>
    <w:rsid w:val="00011DE7"/>
    <w:rsid w:val="000414D9"/>
    <w:rsid w:val="000578B1"/>
    <w:rsid w:val="00096FF0"/>
    <w:rsid w:val="000C4A2E"/>
    <w:rsid w:val="000E1B01"/>
    <w:rsid w:val="000E25F2"/>
    <w:rsid w:val="000E7D48"/>
    <w:rsid w:val="00105B61"/>
    <w:rsid w:val="00105B88"/>
    <w:rsid w:val="00106353"/>
    <w:rsid w:val="00117322"/>
    <w:rsid w:val="00120AD8"/>
    <w:rsid w:val="00132D00"/>
    <w:rsid w:val="001349F7"/>
    <w:rsid w:val="00136DF9"/>
    <w:rsid w:val="0015553C"/>
    <w:rsid w:val="001807F8"/>
    <w:rsid w:val="001A3EE6"/>
    <w:rsid w:val="00201E3D"/>
    <w:rsid w:val="0023317C"/>
    <w:rsid w:val="00237F38"/>
    <w:rsid w:val="002671D4"/>
    <w:rsid w:val="002812F8"/>
    <w:rsid w:val="00287901"/>
    <w:rsid w:val="002B2A67"/>
    <w:rsid w:val="002D4DDC"/>
    <w:rsid w:val="0030238B"/>
    <w:rsid w:val="00382900"/>
    <w:rsid w:val="003A1605"/>
    <w:rsid w:val="003B4C36"/>
    <w:rsid w:val="003C3AF5"/>
    <w:rsid w:val="00434490"/>
    <w:rsid w:val="004448A0"/>
    <w:rsid w:val="00457E5F"/>
    <w:rsid w:val="00480178"/>
    <w:rsid w:val="004831C4"/>
    <w:rsid w:val="004915CD"/>
    <w:rsid w:val="004A4C29"/>
    <w:rsid w:val="004B4565"/>
    <w:rsid w:val="004C383A"/>
    <w:rsid w:val="004E07BD"/>
    <w:rsid w:val="004E23C9"/>
    <w:rsid w:val="004F1ED7"/>
    <w:rsid w:val="0052306C"/>
    <w:rsid w:val="0056635B"/>
    <w:rsid w:val="00566550"/>
    <w:rsid w:val="00571BCE"/>
    <w:rsid w:val="0058093D"/>
    <w:rsid w:val="00581C85"/>
    <w:rsid w:val="00584978"/>
    <w:rsid w:val="00585316"/>
    <w:rsid w:val="00591686"/>
    <w:rsid w:val="005B1F5C"/>
    <w:rsid w:val="005C2EC4"/>
    <w:rsid w:val="005C3FE6"/>
    <w:rsid w:val="005E0A53"/>
    <w:rsid w:val="00604AF6"/>
    <w:rsid w:val="006242BA"/>
    <w:rsid w:val="006522FC"/>
    <w:rsid w:val="00652C29"/>
    <w:rsid w:val="0065519A"/>
    <w:rsid w:val="006568A2"/>
    <w:rsid w:val="0066133B"/>
    <w:rsid w:val="00682DA7"/>
    <w:rsid w:val="006A73D7"/>
    <w:rsid w:val="006E7C89"/>
    <w:rsid w:val="006F11D9"/>
    <w:rsid w:val="006F6567"/>
    <w:rsid w:val="007040B8"/>
    <w:rsid w:val="00731C8F"/>
    <w:rsid w:val="00757839"/>
    <w:rsid w:val="007603BA"/>
    <w:rsid w:val="00766DCD"/>
    <w:rsid w:val="00770D7E"/>
    <w:rsid w:val="00785DC6"/>
    <w:rsid w:val="00792EA3"/>
    <w:rsid w:val="007A5E77"/>
    <w:rsid w:val="007C5EA2"/>
    <w:rsid w:val="007C612F"/>
    <w:rsid w:val="007D6FFB"/>
    <w:rsid w:val="007E7219"/>
    <w:rsid w:val="008129D8"/>
    <w:rsid w:val="0086210C"/>
    <w:rsid w:val="008756AB"/>
    <w:rsid w:val="00877956"/>
    <w:rsid w:val="0088382A"/>
    <w:rsid w:val="00895397"/>
    <w:rsid w:val="008B62FB"/>
    <w:rsid w:val="008F305E"/>
    <w:rsid w:val="009054B7"/>
    <w:rsid w:val="00933E22"/>
    <w:rsid w:val="0094164D"/>
    <w:rsid w:val="0096015C"/>
    <w:rsid w:val="00960557"/>
    <w:rsid w:val="00963330"/>
    <w:rsid w:val="00972728"/>
    <w:rsid w:val="00987D80"/>
    <w:rsid w:val="009E02F5"/>
    <w:rsid w:val="009E6358"/>
    <w:rsid w:val="009F0B50"/>
    <w:rsid w:val="009F6748"/>
    <w:rsid w:val="00A12A35"/>
    <w:rsid w:val="00A14041"/>
    <w:rsid w:val="00A228E5"/>
    <w:rsid w:val="00A325E3"/>
    <w:rsid w:val="00A456A6"/>
    <w:rsid w:val="00A4729E"/>
    <w:rsid w:val="00A52827"/>
    <w:rsid w:val="00A5625C"/>
    <w:rsid w:val="00A633E8"/>
    <w:rsid w:val="00A7415C"/>
    <w:rsid w:val="00A837EC"/>
    <w:rsid w:val="00AA3431"/>
    <w:rsid w:val="00AB551F"/>
    <w:rsid w:val="00AC6D27"/>
    <w:rsid w:val="00AD1069"/>
    <w:rsid w:val="00AE52DD"/>
    <w:rsid w:val="00AE7EEA"/>
    <w:rsid w:val="00B134E0"/>
    <w:rsid w:val="00B13C95"/>
    <w:rsid w:val="00B308F9"/>
    <w:rsid w:val="00B360C0"/>
    <w:rsid w:val="00B47C56"/>
    <w:rsid w:val="00B50E8B"/>
    <w:rsid w:val="00B54489"/>
    <w:rsid w:val="00B62DBC"/>
    <w:rsid w:val="00B67B8A"/>
    <w:rsid w:val="00B87F56"/>
    <w:rsid w:val="00BB36B3"/>
    <w:rsid w:val="00BB3818"/>
    <w:rsid w:val="00BC2C58"/>
    <w:rsid w:val="00BC59BB"/>
    <w:rsid w:val="00BD4EE3"/>
    <w:rsid w:val="00C0427C"/>
    <w:rsid w:val="00C3483B"/>
    <w:rsid w:val="00C50554"/>
    <w:rsid w:val="00C56ABC"/>
    <w:rsid w:val="00C57977"/>
    <w:rsid w:val="00C94304"/>
    <w:rsid w:val="00CB3A1B"/>
    <w:rsid w:val="00CF49E6"/>
    <w:rsid w:val="00D3396A"/>
    <w:rsid w:val="00D37A97"/>
    <w:rsid w:val="00D400C4"/>
    <w:rsid w:val="00D50C42"/>
    <w:rsid w:val="00D60F3D"/>
    <w:rsid w:val="00D84FAF"/>
    <w:rsid w:val="00D86AF8"/>
    <w:rsid w:val="00E021F6"/>
    <w:rsid w:val="00E102E0"/>
    <w:rsid w:val="00E338BA"/>
    <w:rsid w:val="00E37F45"/>
    <w:rsid w:val="00E44B04"/>
    <w:rsid w:val="00E457B1"/>
    <w:rsid w:val="00E54084"/>
    <w:rsid w:val="00E915AE"/>
    <w:rsid w:val="00E94D46"/>
    <w:rsid w:val="00EF265C"/>
    <w:rsid w:val="00F3586B"/>
    <w:rsid w:val="00F42986"/>
    <w:rsid w:val="00F55DCB"/>
    <w:rsid w:val="00F578BD"/>
    <w:rsid w:val="00F61C9B"/>
    <w:rsid w:val="00F64FA4"/>
    <w:rsid w:val="00FA2207"/>
    <w:rsid w:val="00FA2A03"/>
    <w:rsid w:val="00FA588E"/>
    <w:rsid w:val="00FC0141"/>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EE84F"/>
  <w15:docId w15:val="{599A49A6-70BE-4674-AE84-CA0C9281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E0"/>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02E0"/>
    <w:pPr>
      <w:tabs>
        <w:tab w:val="center" w:pos="4153"/>
        <w:tab w:val="right" w:pos="8306"/>
      </w:tabs>
    </w:pPr>
    <w:rPr>
      <w:sz w:val="24"/>
    </w:rPr>
  </w:style>
  <w:style w:type="paragraph" w:styleId="BalloonText">
    <w:name w:val="Balloon Text"/>
    <w:basedOn w:val="Normal"/>
    <w:semiHidden/>
    <w:rsid w:val="0065519A"/>
    <w:rPr>
      <w:rFonts w:ascii="Tahoma" w:hAnsi="Tahoma" w:cs="Tahoma"/>
      <w:sz w:val="16"/>
      <w:szCs w:val="16"/>
    </w:rPr>
  </w:style>
  <w:style w:type="paragraph" w:styleId="ListParagraph">
    <w:name w:val="List Paragraph"/>
    <w:basedOn w:val="Normal"/>
    <w:uiPriority w:val="34"/>
    <w:qFormat/>
    <w:rsid w:val="008F305E"/>
    <w:pPr>
      <w:ind w:left="720"/>
      <w:contextualSpacing/>
    </w:pPr>
  </w:style>
  <w:style w:type="character" w:styleId="CommentReference">
    <w:name w:val="annotation reference"/>
    <w:basedOn w:val="DefaultParagraphFont"/>
    <w:semiHidden/>
    <w:unhideWhenUsed/>
    <w:rsid w:val="00BD4EE3"/>
    <w:rPr>
      <w:sz w:val="16"/>
      <w:szCs w:val="16"/>
    </w:rPr>
  </w:style>
  <w:style w:type="paragraph" w:styleId="CommentText">
    <w:name w:val="annotation text"/>
    <w:basedOn w:val="Normal"/>
    <w:link w:val="CommentTextChar"/>
    <w:semiHidden/>
    <w:unhideWhenUsed/>
    <w:rsid w:val="00BD4EE3"/>
    <w:rPr>
      <w:sz w:val="20"/>
    </w:rPr>
  </w:style>
  <w:style w:type="character" w:customStyle="1" w:styleId="CommentTextChar">
    <w:name w:val="Comment Text Char"/>
    <w:basedOn w:val="DefaultParagraphFont"/>
    <w:link w:val="CommentText"/>
    <w:semiHidden/>
    <w:rsid w:val="00BD4EE3"/>
    <w:rPr>
      <w:rFonts w:ascii="Arial" w:hAnsi="Arial"/>
      <w:lang w:eastAsia="en-US"/>
    </w:rPr>
  </w:style>
  <w:style w:type="paragraph" w:styleId="CommentSubject">
    <w:name w:val="annotation subject"/>
    <w:basedOn w:val="CommentText"/>
    <w:next w:val="CommentText"/>
    <w:link w:val="CommentSubjectChar"/>
    <w:semiHidden/>
    <w:unhideWhenUsed/>
    <w:rsid w:val="00BD4EE3"/>
    <w:rPr>
      <w:b/>
      <w:bCs/>
    </w:rPr>
  </w:style>
  <w:style w:type="character" w:customStyle="1" w:styleId="CommentSubjectChar">
    <w:name w:val="Comment Subject Char"/>
    <w:basedOn w:val="CommentTextChar"/>
    <w:link w:val="CommentSubject"/>
    <w:semiHidden/>
    <w:rsid w:val="00BD4EE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7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549880195">
          <w:marLeft w:val="0"/>
          <w:marRight w:val="0"/>
          <w:marTop w:val="0"/>
          <w:marBottom w:val="0"/>
          <w:divBdr>
            <w:top w:val="none" w:sz="0" w:space="0" w:color="auto"/>
            <w:left w:val="none" w:sz="0" w:space="0" w:color="auto"/>
            <w:bottom w:val="none" w:sz="0" w:space="0" w:color="auto"/>
            <w:right w:val="none" w:sz="0" w:space="0" w:color="auto"/>
          </w:divBdr>
          <w:divsChild>
            <w:div w:id="2130278504">
              <w:marLeft w:val="0"/>
              <w:marRight w:val="0"/>
              <w:marTop w:val="0"/>
              <w:marBottom w:val="0"/>
              <w:divBdr>
                <w:top w:val="none" w:sz="0" w:space="0" w:color="auto"/>
                <w:left w:val="none" w:sz="0" w:space="0" w:color="auto"/>
                <w:bottom w:val="none" w:sz="0" w:space="0" w:color="auto"/>
                <w:right w:val="none" w:sz="0" w:space="0" w:color="auto"/>
              </w:divBdr>
              <w:divsChild>
                <w:div w:id="1869827508">
                  <w:marLeft w:val="0"/>
                  <w:marRight w:val="0"/>
                  <w:marTop w:val="0"/>
                  <w:marBottom w:val="0"/>
                  <w:divBdr>
                    <w:top w:val="none" w:sz="0" w:space="0" w:color="auto"/>
                    <w:left w:val="none" w:sz="0" w:space="0" w:color="auto"/>
                    <w:bottom w:val="none" w:sz="0" w:space="0" w:color="auto"/>
                    <w:right w:val="none" w:sz="0" w:space="0" w:color="auto"/>
                  </w:divBdr>
                  <w:divsChild>
                    <w:div w:id="411243809">
                      <w:marLeft w:val="0"/>
                      <w:marRight w:val="0"/>
                      <w:marTop w:val="0"/>
                      <w:marBottom w:val="0"/>
                      <w:divBdr>
                        <w:top w:val="none" w:sz="0" w:space="0" w:color="auto"/>
                        <w:left w:val="none" w:sz="0" w:space="0" w:color="auto"/>
                        <w:bottom w:val="none" w:sz="0" w:space="0" w:color="auto"/>
                        <w:right w:val="none" w:sz="0" w:space="0" w:color="auto"/>
                      </w:divBdr>
                    </w:div>
                    <w:div w:id="417411351">
                      <w:marLeft w:val="0"/>
                      <w:marRight w:val="0"/>
                      <w:marTop w:val="0"/>
                      <w:marBottom w:val="0"/>
                      <w:divBdr>
                        <w:top w:val="none" w:sz="0" w:space="0" w:color="auto"/>
                        <w:left w:val="none" w:sz="0" w:space="0" w:color="auto"/>
                        <w:bottom w:val="none" w:sz="0" w:space="0" w:color="auto"/>
                        <w:right w:val="none" w:sz="0" w:space="0" w:color="auto"/>
                      </w:divBdr>
                    </w:div>
                    <w:div w:id="582103916">
                      <w:marLeft w:val="0"/>
                      <w:marRight w:val="0"/>
                      <w:marTop w:val="0"/>
                      <w:marBottom w:val="0"/>
                      <w:divBdr>
                        <w:top w:val="none" w:sz="0" w:space="0" w:color="auto"/>
                        <w:left w:val="none" w:sz="0" w:space="0" w:color="auto"/>
                        <w:bottom w:val="none" w:sz="0" w:space="0" w:color="auto"/>
                        <w:right w:val="none" w:sz="0" w:space="0" w:color="auto"/>
                      </w:divBdr>
                      <w:divsChild>
                        <w:div w:id="360981818">
                          <w:marLeft w:val="0"/>
                          <w:marRight w:val="0"/>
                          <w:marTop w:val="0"/>
                          <w:marBottom w:val="0"/>
                          <w:divBdr>
                            <w:top w:val="none" w:sz="0" w:space="0" w:color="auto"/>
                            <w:left w:val="none" w:sz="0" w:space="0" w:color="auto"/>
                            <w:bottom w:val="none" w:sz="0" w:space="0" w:color="auto"/>
                            <w:right w:val="none" w:sz="0" w:space="0" w:color="auto"/>
                          </w:divBdr>
                        </w:div>
                        <w:div w:id="1342463832">
                          <w:marLeft w:val="0"/>
                          <w:marRight w:val="0"/>
                          <w:marTop w:val="0"/>
                          <w:marBottom w:val="0"/>
                          <w:divBdr>
                            <w:top w:val="none" w:sz="0" w:space="0" w:color="auto"/>
                            <w:left w:val="none" w:sz="0" w:space="0" w:color="auto"/>
                            <w:bottom w:val="none" w:sz="0" w:space="0" w:color="auto"/>
                            <w:right w:val="none" w:sz="0" w:space="0" w:color="auto"/>
                          </w:divBdr>
                        </w:div>
                        <w:div w:id="1426413575">
                          <w:marLeft w:val="0"/>
                          <w:marRight w:val="0"/>
                          <w:marTop w:val="0"/>
                          <w:marBottom w:val="0"/>
                          <w:divBdr>
                            <w:top w:val="none" w:sz="0" w:space="0" w:color="auto"/>
                            <w:left w:val="none" w:sz="0" w:space="0" w:color="auto"/>
                            <w:bottom w:val="none" w:sz="0" w:space="0" w:color="auto"/>
                            <w:right w:val="none" w:sz="0" w:space="0" w:color="auto"/>
                          </w:divBdr>
                        </w:div>
                      </w:divsChild>
                    </w:div>
                    <w:div w:id="776095714">
                      <w:marLeft w:val="0"/>
                      <w:marRight w:val="0"/>
                      <w:marTop w:val="0"/>
                      <w:marBottom w:val="0"/>
                      <w:divBdr>
                        <w:top w:val="none" w:sz="0" w:space="0" w:color="auto"/>
                        <w:left w:val="none" w:sz="0" w:space="0" w:color="auto"/>
                        <w:bottom w:val="none" w:sz="0" w:space="0" w:color="auto"/>
                        <w:right w:val="none" w:sz="0" w:space="0" w:color="auto"/>
                      </w:divBdr>
                      <w:divsChild>
                        <w:div w:id="33123020">
                          <w:marLeft w:val="0"/>
                          <w:marRight w:val="0"/>
                          <w:marTop w:val="0"/>
                          <w:marBottom w:val="0"/>
                          <w:divBdr>
                            <w:top w:val="none" w:sz="0" w:space="0" w:color="auto"/>
                            <w:left w:val="none" w:sz="0" w:space="0" w:color="auto"/>
                            <w:bottom w:val="none" w:sz="0" w:space="0" w:color="auto"/>
                            <w:right w:val="none" w:sz="0" w:space="0" w:color="auto"/>
                          </w:divBdr>
                        </w:div>
                        <w:div w:id="1002510761">
                          <w:marLeft w:val="0"/>
                          <w:marRight w:val="0"/>
                          <w:marTop w:val="0"/>
                          <w:marBottom w:val="0"/>
                          <w:divBdr>
                            <w:top w:val="none" w:sz="0" w:space="0" w:color="auto"/>
                            <w:left w:val="none" w:sz="0" w:space="0" w:color="auto"/>
                            <w:bottom w:val="none" w:sz="0" w:space="0" w:color="auto"/>
                            <w:right w:val="none" w:sz="0" w:space="0" w:color="auto"/>
                          </w:divBdr>
                        </w:div>
                        <w:div w:id="2122726477">
                          <w:marLeft w:val="0"/>
                          <w:marRight w:val="0"/>
                          <w:marTop w:val="0"/>
                          <w:marBottom w:val="0"/>
                          <w:divBdr>
                            <w:top w:val="none" w:sz="0" w:space="0" w:color="auto"/>
                            <w:left w:val="none" w:sz="0" w:space="0" w:color="auto"/>
                            <w:bottom w:val="none" w:sz="0" w:space="0" w:color="auto"/>
                            <w:right w:val="none" w:sz="0" w:space="0" w:color="auto"/>
                          </w:divBdr>
                        </w:div>
                      </w:divsChild>
                    </w:div>
                    <w:div w:id="1156263763">
                      <w:marLeft w:val="0"/>
                      <w:marRight w:val="0"/>
                      <w:marTop w:val="0"/>
                      <w:marBottom w:val="0"/>
                      <w:divBdr>
                        <w:top w:val="none" w:sz="0" w:space="0" w:color="auto"/>
                        <w:left w:val="none" w:sz="0" w:space="0" w:color="auto"/>
                        <w:bottom w:val="none" w:sz="0" w:space="0" w:color="auto"/>
                        <w:right w:val="none" w:sz="0" w:space="0" w:color="auto"/>
                      </w:divBdr>
                      <w:divsChild>
                        <w:div w:id="427239630">
                          <w:marLeft w:val="0"/>
                          <w:marRight w:val="0"/>
                          <w:marTop w:val="0"/>
                          <w:marBottom w:val="0"/>
                          <w:divBdr>
                            <w:top w:val="none" w:sz="0" w:space="0" w:color="auto"/>
                            <w:left w:val="none" w:sz="0" w:space="0" w:color="auto"/>
                            <w:bottom w:val="none" w:sz="0" w:space="0" w:color="auto"/>
                            <w:right w:val="none" w:sz="0" w:space="0" w:color="auto"/>
                          </w:divBdr>
                        </w:div>
                        <w:div w:id="1303465394">
                          <w:marLeft w:val="0"/>
                          <w:marRight w:val="0"/>
                          <w:marTop w:val="0"/>
                          <w:marBottom w:val="0"/>
                          <w:divBdr>
                            <w:top w:val="none" w:sz="0" w:space="0" w:color="auto"/>
                            <w:left w:val="none" w:sz="0" w:space="0" w:color="auto"/>
                            <w:bottom w:val="none" w:sz="0" w:space="0" w:color="auto"/>
                            <w:right w:val="none" w:sz="0" w:space="0" w:color="auto"/>
                          </w:divBdr>
                          <w:divsChild>
                            <w:div w:id="1908344385">
                              <w:marLeft w:val="0"/>
                              <w:marRight w:val="0"/>
                              <w:marTop w:val="0"/>
                              <w:marBottom w:val="0"/>
                              <w:divBdr>
                                <w:top w:val="none" w:sz="0" w:space="0" w:color="auto"/>
                                <w:left w:val="none" w:sz="0" w:space="0" w:color="auto"/>
                                <w:bottom w:val="none" w:sz="0" w:space="0" w:color="auto"/>
                                <w:right w:val="none" w:sz="0" w:space="0" w:color="auto"/>
                              </w:divBdr>
                            </w:div>
                            <w:div w:id="2081829053">
                              <w:marLeft w:val="0"/>
                              <w:marRight w:val="0"/>
                              <w:marTop w:val="0"/>
                              <w:marBottom w:val="0"/>
                              <w:divBdr>
                                <w:top w:val="none" w:sz="0" w:space="0" w:color="auto"/>
                                <w:left w:val="none" w:sz="0" w:space="0" w:color="auto"/>
                                <w:bottom w:val="none" w:sz="0" w:space="0" w:color="auto"/>
                                <w:right w:val="none" w:sz="0" w:space="0" w:color="auto"/>
                              </w:divBdr>
                            </w:div>
                          </w:divsChild>
                        </w:div>
                        <w:div w:id="1395549128">
                          <w:marLeft w:val="0"/>
                          <w:marRight w:val="0"/>
                          <w:marTop w:val="0"/>
                          <w:marBottom w:val="0"/>
                          <w:divBdr>
                            <w:top w:val="none" w:sz="0" w:space="0" w:color="auto"/>
                            <w:left w:val="none" w:sz="0" w:space="0" w:color="auto"/>
                            <w:bottom w:val="none" w:sz="0" w:space="0" w:color="auto"/>
                            <w:right w:val="none" w:sz="0" w:space="0" w:color="auto"/>
                          </w:divBdr>
                        </w:div>
                      </w:divsChild>
                    </w:div>
                    <w:div w:id="2017606925">
                      <w:marLeft w:val="0"/>
                      <w:marRight w:val="0"/>
                      <w:marTop w:val="0"/>
                      <w:marBottom w:val="0"/>
                      <w:divBdr>
                        <w:top w:val="none" w:sz="0" w:space="0" w:color="auto"/>
                        <w:left w:val="none" w:sz="0" w:space="0" w:color="auto"/>
                        <w:bottom w:val="none" w:sz="0" w:space="0" w:color="auto"/>
                        <w:right w:val="none" w:sz="0" w:space="0" w:color="auto"/>
                      </w:divBdr>
                      <w:divsChild>
                        <w:div w:id="285547145">
                          <w:marLeft w:val="0"/>
                          <w:marRight w:val="0"/>
                          <w:marTop w:val="0"/>
                          <w:marBottom w:val="0"/>
                          <w:divBdr>
                            <w:top w:val="none" w:sz="0" w:space="0" w:color="auto"/>
                            <w:left w:val="none" w:sz="0" w:space="0" w:color="auto"/>
                            <w:bottom w:val="none" w:sz="0" w:space="0" w:color="auto"/>
                            <w:right w:val="none" w:sz="0" w:space="0" w:color="auto"/>
                          </w:divBdr>
                        </w:div>
                        <w:div w:id="1692141789">
                          <w:marLeft w:val="0"/>
                          <w:marRight w:val="0"/>
                          <w:marTop w:val="0"/>
                          <w:marBottom w:val="0"/>
                          <w:divBdr>
                            <w:top w:val="none" w:sz="0" w:space="0" w:color="auto"/>
                            <w:left w:val="none" w:sz="0" w:space="0" w:color="auto"/>
                            <w:bottom w:val="none" w:sz="0" w:space="0" w:color="auto"/>
                            <w:right w:val="none" w:sz="0" w:space="0" w:color="auto"/>
                          </w:divBdr>
                        </w:div>
                      </w:divsChild>
                    </w:div>
                    <w:div w:id="2139106537">
                      <w:marLeft w:val="0"/>
                      <w:marRight w:val="0"/>
                      <w:marTop w:val="0"/>
                      <w:marBottom w:val="0"/>
                      <w:divBdr>
                        <w:top w:val="none" w:sz="0" w:space="0" w:color="auto"/>
                        <w:left w:val="none" w:sz="0" w:space="0" w:color="auto"/>
                        <w:bottom w:val="none" w:sz="0" w:space="0" w:color="auto"/>
                        <w:right w:val="none" w:sz="0" w:space="0" w:color="auto"/>
                      </w:divBdr>
                      <w:divsChild>
                        <w:div w:id="724959764">
                          <w:marLeft w:val="0"/>
                          <w:marRight w:val="0"/>
                          <w:marTop w:val="0"/>
                          <w:marBottom w:val="0"/>
                          <w:divBdr>
                            <w:top w:val="none" w:sz="0" w:space="0" w:color="auto"/>
                            <w:left w:val="none" w:sz="0" w:space="0" w:color="auto"/>
                            <w:bottom w:val="none" w:sz="0" w:space="0" w:color="auto"/>
                            <w:right w:val="none" w:sz="0" w:space="0" w:color="auto"/>
                          </w:divBdr>
                        </w:div>
                        <w:div w:id="1289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6260">
      <w:bodyDiv w:val="1"/>
      <w:marLeft w:val="0"/>
      <w:marRight w:val="0"/>
      <w:marTop w:val="0"/>
      <w:marBottom w:val="0"/>
      <w:divBdr>
        <w:top w:val="none" w:sz="0" w:space="0" w:color="auto"/>
        <w:left w:val="none" w:sz="0" w:space="0" w:color="auto"/>
        <w:bottom w:val="none" w:sz="0" w:space="0" w:color="auto"/>
        <w:right w:val="none" w:sz="0" w:space="0" w:color="auto"/>
      </w:divBdr>
    </w:div>
    <w:div w:id="647781177">
      <w:bodyDiv w:val="1"/>
      <w:marLeft w:val="0"/>
      <w:marRight w:val="0"/>
      <w:marTop w:val="0"/>
      <w:marBottom w:val="0"/>
      <w:divBdr>
        <w:top w:val="none" w:sz="0" w:space="0" w:color="auto"/>
        <w:left w:val="none" w:sz="0" w:space="0" w:color="auto"/>
        <w:bottom w:val="none" w:sz="0" w:space="0" w:color="auto"/>
        <w:right w:val="none" w:sz="0" w:space="0" w:color="auto"/>
      </w:divBdr>
    </w:div>
    <w:div w:id="1442146004">
      <w:bodyDiv w:val="1"/>
      <w:marLeft w:val="0"/>
      <w:marRight w:val="0"/>
      <w:marTop w:val="0"/>
      <w:marBottom w:val="0"/>
      <w:divBdr>
        <w:top w:val="none" w:sz="0" w:space="0" w:color="auto"/>
        <w:left w:val="none" w:sz="0" w:space="0" w:color="auto"/>
        <w:bottom w:val="none" w:sz="0" w:space="0" w:color="auto"/>
        <w:right w:val="none" w:sz="0" w:space="0" w:color="auto"/>
      </w:divBdr>
    </w:div>
    <w:div w:id="1597909134">
      <w:bodyDiv w:val="1"/>
      <w:marLeft w:val="375"/>
      <w:marRight w:val="375"/>
      <w:marTop w:val="75"/>
      <w:marBottom w:val="75"/>
      <w:divBdr>
        <w:top w:val="none" w:sz="0" w:space="0" w:color="auto"/>
        <w:left w:val="none" w:sz="0" w:space="0" w:color="auto"/>
        <w:bottom w:val="none" w:sz="0" w:space="0" w:color="auto"/>
        <w:right w:val="none" w:sz="0" w:space="0" w:color="auto"/>
      </w:divBdr>
      <w:divsChild>
        <w:div w:id="660232147">
          <w:marLeft w:val="0"/>
          <w:marRight w:val="0"/>
          <w:marTop w:val="0"/>
          <w:marBottom w:val="0"/>
          <w:divBdr>
            <w:top w:val="none" w:sz="0" w:space="0" w:color="auto"/>
            <w:left w:val="none" w:sz="0" w:space="0" w:color="auto"/>
            <w:bottom w:val="none" w:sz="0" w:space="0" w:color="auto"/>
            <w:right w:val="none" w:sz="0" w:space="0" w:color="auto"/>
          </w:divBdr>
          <w:divsChild>
            <w:div w:id="1260792025">
              <w:marLeft w:val="0"/>
              <w:marRight w:val="0"/>
              <w:marTop w:val="0"/>
              <w:marBottom w:val="0"/>
              <w:divBdr>
                <w:top w:val="none" w:sz="0" w:space="0" w:color="auto"/>
                <w:left w:val="none" w:sz="0" w:space="0" w:color="auto"/>
                <w:bottom w:val="none" w:sz="0" w:space="0" w:color="auto"/>
                <w:right w:val="none" w:sz="0" w:space="0" w:color="auto"/>
              </w:divBdr>
              <w:divsChild>
                <w:div w:id="1143541266">
                  <w:marLeft w:val="0"/>
                  <w:marRight w:val="0"/>
                  <w:marTop w:val="0"/>
                  <w:marBottom w:val="0"/>
                  <w:divBdr>
                    <w:top w:val="none" w:sz="0" w:space="0" w:color="auto"/>
                    <w:left w:val="none" w:sz="0" w:space="0" w:color="auto"/>
                    <w:bottom w:val="none" w:sz="0" w:space="0" w:color="auto"/>
                    <w:right w:val="none" w:sz="0" w:space="0" w:color="auto"/>
                  </w:divBdr>
                  <w:divsChild>
                    <w:div w:id="366835183">
                      <w:marLeft w:val="0"/>
                      <w:marRight w:val="0"/>
                      <w:marTop w:val="0"/>
                      <w:marBottom w:val="0"/>
                      <w:divBdr>
                        <w:top w:val="none" w:sz="0" w:space="0" w:color="auto"/>
                        <w:left w:val="none" w:sz="0" w:space="0" w:color="auto"/>
                        <w:bottom w:val="none" w:sz="0" w:space="0" w:color="auto"/>
                        <w:right w:val="none" w:sz="0" w:space="0" w:color="auto"/>
                      </w:divBdr>
                    </w:div>
                    <w:div w:id="436756785">
                      <w:marLeft w:val="0"/>
                      <w:marRight w:val="0"/>
                      <w:marTop w:val="0"/>
                      <w:marBottom w:val="0"/>
                      <w:divBdr>
                        <w:top w:val="none" w:sz="0" w:space="0" w:color="auto"/>
                        <w:left w:val="none" w:sz="0" w:space="0" w:color="auto"/>
                        <w:bottom w:val="none" w:sz="0" w:space="0" w:color="auto"/>
                        <w:right w:val="none" w:sz="0" w:space="0" w:color="auto"/>
                      </w:divBdr>
                      <w:divsChild>
                        <w:div w:id="736705411">
                          <w:marLeft w:val="0"/>
                          <w:marRight w:val="0"/>
                          <w:marTop w:val="0"/>
                          <w:marBottom w:val="0"/>
                          <w:divBdr>
                            <w:top w:val="none" w:sz="0" w:space="0" w:color="auto"/>
                            <w:left w:val="none" w:sz="0" w:space="0" w:color="auto"/>
                            <w:bottom w:val="none" w:sz="0" w:space="0" w:color="auto"/>
                            <w:right w:val="none" w:sz="0" w:space="0" w:color="auto"/>
                          </w:divBdr>
                        </w:div>
                        <w:div w:id="1137379056">
                          <w:marLeft w:val="0"/>
                          <w:marRight w:val="0"/>
                          <w:marTop w:val="0"/>
                          <w:marBottom w:val="0"/>
                          <w:divBdr>
                            <w:top w:val="none" w:sz="0" w:space="0" w:color="auto"/>
                            <w:left w:val="none" w:sz="0" w:space="0" w:color="auto"/>
                            <w:bottom w:val="none" w:sz="0" w:space="0" w:color="auto"/>
                            <w:right w:val="none" w:sz="0" w:space="0" w:color="auto"/>
                          </w:divBdr>
                        </w:div>
                      </w:divsChild>
                    </w:div>
                    <w:div w:id="745570138">
                      <w:marLeft w:val="0"/>
                      <w:marRight w:val="0"/>
                      <w:marTop w:val="0"/>
                      <w:marBottom w:val="0"/>
                      <w:divBdr>
                        <w:top w:val="none" w:sz="0" w:space="0" w:color="auto"/>
                        <w:left w:val="none" w:sz="0" w:space="0" w:color="auto"/>
                        <w:bottom w:val="none" w:sz="0" w:space="0" w:color="auto"/>
                        <w:right w:val="none" w:sz="0" w:space="0" w:color="auto"/>
                      </w:divBdr>
                      <w:divsChild>
                        <w:div w:id="803355475">
                          <w:marLeft w:val="0"/>
                          <w:marRight w:val="0"/>
                          <w:marTop w:val="0"/>
                          <w:marBottom w:val="0"/>
                          <w:divBdr>
                            <w:top w:val="none" w:sz="0" w:space="0" w:color="auto"/>
                            <w:left w:val="none" w:sz="0" w:space="0" w:color="auto"/>
                            <w:bottom w:val="none" w:sz="0" w:space="0" w:color="auto"/>
                            <w:right w:val="none" w:sz="0" w:space="0" w:color="auto"/>
                          </w:divBdr>
                        </w:div>
                        <w:div w:id="1641423815">
                          <w:marLeft w:val="0"/>
                          <w:marRight w:val="0"/>
                          <w:marTop w:val="0"/>
                          <w:marBottom w:val="0"/>
                          <w:divBdr>
                            <w:top w:val="none" w:sz="0" w:space="0" w:color="auto"/>
                            <w:left w:val="none" w:sz="0" w:space="0" w:color="auto"/>
                            <w:bottom w:val="none" w:sz="0" w:space="0" w:color="auto"/>
                            <w:right w:val="none" w:sz="0" w:space="0" w:color="auto"/>
                          </w:divBdr>
                          <w:divsChild>
                            <w:div w:id="408621469">
                              <w:marLeft w:val="0"/>
                              <w:marRight w:val="0"/>
                              <w:marTop w:val="0"/>
                              <w:marBottom w:val="0"/>
                              <w:divBdr>
                                <w:top w:val="none" w:sz="0" w:space="0" w:color="auto"/>
                                <w:left w:val="none" w:sz="0" w:space="0" w:color="auto"/>
                                <w:bottom w:val="none" w:sz="0" w:space="0" w:color="auto"/>
                                <w:right w:val="none" w:sz="0" w:space="0" w:color="auto"/>
                              </w:divBdr>
                            </w:div>
                            <w:div w:id="1230651085">
                              <w:marLeft w:val="0"/>
                              <w:marRight w:val="0"/>
                              <w:marTop w:val="0"/>
                              <w:marBottom w:val="0"/>
                              <w:divBdr>
                                <w:top w:val="none" w:sz="0" w:space="0" w:color="auto"/>
                                <w:left w:val="none" w:sz="0" w:space="0" w:color="auto"/>
                                <w:bottom w:val="none" w:sz="0" w:space="0" w:color="auto"/>
                                <w:right w:val="none" w:sz="0" w:space="0" w:color="auto"/>
                              </w:divBdr>
                            </w:div>
                          </w:divsChild>
                        </w:div>
                        <w:div w:id="1725911537">
                          <w:marLeft w:val="0"/>
                          <w:marRight w:val="0"/>
                          <w:marTop w:val="0"/>
                          <w:marBottom w:val="0"/>
                          <w:divBdr>
                            <w:top w:val="none" w:sz="0" w:space="0" w:color="auto"/>
                            <w:left w:val="none" w:sz="0" w:space="0" w:color="auto"/>
                            <w:bottom w:val="none" w:sz="0" w:space="0" w:color="auto"/>
                            <w:right w:val="none" w:sz="0" w:space="0" w:color="auto"/>
                          </w:divBdr>
                        </w:div>
                      </w:divsChild>
                    </w:div>
                    <w:div w:id="1502499911">
                      <w:marLeft w:val="0"/>
                      <w:marRight w:val="0"/>
                      <w:marTop w:val="0"/>
                      <w:marBottom w:val="0"/>
                      <w:divBdr>
                        <w:top w:val="none" w:sz="0" w:space="0" w:color="auto"/>
                        <w:left w:val="none" w:sz="0" w:space="0" w:color="auto"/>
                        <w:bottom w:val="none" w:sz="0" w:space="0" w:color="auto"/>
                        <w:right w:val="none" w:sz="0" w:space="0" w:color="auto"/>
                      </w:divBdr>
                    </w:div>
                    <w:div w:id="1619875507">
                      <w:marLeft w:val="0"/>
                      <w:marRight w:val="0"/>
                      <w:marTop w:val="0"/>
                      <w:marBottom w:val="0"/>
                      <w:divBdr>
                        <w:top w:val="none" w:sz="0" w:space="0" w:color="auto"/>
                        <w:left w:val="none" w:sz="0" w:space="0" w:color="auto"/>
                        <w:bottom w:val="none" w:sz="0" w:space="0" w:color="auto"/>
                        <w:right w:val="none" w:sz="0" w:space="0" w:color="auto"/>
                      </w:divBdr>
                      <w:divsChild>
                        <w:div w:id="360476208">
                          <w:marLeft w:val="0"/>
                          <w:marRight w:val="0"/>
                          <w:marTop w:val="0"/>
                          <w:marBottom w:val="0"/>
                          <w:divBdr>
                            <w:top w:val="none" w:sz="0" w:space="0" w:color="auto"/>
                            <w:left w:val="none" w:sz="0" w:space="0" w:color="auto"/>
                            <w:bottom w:val="none" w:sz="0" w:space="0" w:color="auto"/>
                            <w:right w:val="none" w:sz="0" w:space="0" w:color="auto"/>
                          </w:divBdr>
                        </w:div>
                        <w:div w:id="846478484">
                          <w:marLeft w:val="0"/>
                          <w:marRight w:val="0"/>
                          <w:marTop w:val="0"/>
                          <w:marBottom w:val="0"/>
                          <w:divBdr>
                            <w:top w:val="none" w:sz="0" w:space="0" w:color="auto"/>
                            <w:left w:val="none" w:sz="0" w:space="0" w:color="auto"/>
                            <w:bottom w:val="none" w:sz="0" w:space="0" w:color="auto"/>
                            <w:right w:val="none" w:sz="0" w:space="0" w:color="auto"/>
                          </w:divBdr>
                        </w:div>
                        <w:div w:id="1450933191">
                          <w:marLeft w:val="0"/>
                          <w:marRight w:val="0"/>
                          <w:marTop w:val="0"/>
                          <w:marBottom w:val="0"/>
                          <w:divBdr>
                            <w:top w:val="none" w:sz="0" w:space="0" w:color="auto"/>
                            <w:left w:val="none" w:sz="0" w:space="0" w:color="auto"/>
                            <w:bottom w:val="none" w:sz="0" w:space="0" w:color="auto"/>
                            <w:right w:val="none" w:sz="0" w:space="0" w:color="auto"/>
                          </w:divBdr>
                        </w:div>
                      </w:divsChild>
                    </w:div>
                    <w:div w:id="1644039226">
                      <w:marLeft w:val="0"/>
                      <w:marRight w:val="0"/>
                      <w:marTop w:val="0"/>
                      <w:marBottom w:val="0"/>
                      <w:divBdr>
                        <w:top w:val="none" w:sz="0" w:space="0" w:color="auto"/>
                        <w:left w:val="none" w:sz="0" w:space="0" w:color="auto"/>
                        <w:bottom w:val="none" w:sz="0" w:space="0" w:color="auto"/>
                        <w:right w:val="none" w:sz="0" w:space="0" w:color="auto"/>
                      </w:divBdr>
                      <w:divsChild>
                        <w:div w:id="1610352273">
                          <w:marLeft w:val="0"/>
                          <w:marRight w:val="0"/>
                          <w:marTop w:val="0"/>
                          <w:marBottom w:val="0"/>
                          <w:divBdr>
                            <w:top w:val="none" w:sz="0" w:space="0" w:color="auto"/>
                            <w:left w:val="none" w:sz="0" w:space="0" w:color="auto"/>
                            <w:bottom w:val="none" w:sz="0" w:space="0" w:color="auto"/>
                            <w:right w:val="none" w:sz="0" w:space="0" w:color="auto"/>
                          </w:divBdr>
                        </w:div>
                        <w:div w:id="1939825156">
                          <w:marLeft w:val="0"/>
                          <w:marRight w:val="0"/>
                          <w:marTop w:val="0"/>
                          <w:marBottom w:val="0"/>
                          <w:divBdr>
                            <w:top w:val="none" w:sz="0" w:space="0" w:color="auto"/>
                            <w:left w:val="none" w:sz="0" w:space="0" w:color="auto"/>
                            <w:bottom w:val="none" w:sz="0" w:space="0" w:color="auto"/>
                            <w:right w:val="none" w:sz="0" w:space="0" w:color="auto"/>
                          </w:divBdr>
                        </w:div>
                      </w:divsChild>
                    </w:div>
                    <w:div w:id="1991978660">
                      <w:marLeft w:val="0"/>
                      <w:marRight w:val="0"/>
                      <w:marTop w:val="0"/>
                      <w:marBottom w:val="0"/>
                      <w:divBdr>
                        <w:top w:val="none" w:sz="0" w:space="0" w:color="auto"/>
                        <w:left w:val="none" w:sz="0" w:space="0" w:color="auto"/>
                        <w:bottom w:val="none" w:sz="0" w:space="0" w:color="auto"/>
                        <w:right w:val="none" w:sz="0" w:space="0" w:color="auto"/>
                      </w:divBdr>
                      <w:divsChild>
                        <w:div w:id="314796644">
                          <w:marLeft w:val="0"/>
                          <w:marRight w:val="0"/>
                          <w:marTop w:val="0"/>
                          <w:marBottom w:val="0"/>
                          <w:divBdr>
                            <w:top w:val="none" w:sz="0" w:space="0" w:color="auto"/>
                            <w:left w:val="none" w:sz="0" w:space="0" w:color="auto"/>
                            <w:bottom w:val="none" w:sz="0" w:space="0" w:color="auto"/>
                            <w:right w:val="none" w:sz="0" w:space="0" w:color="auto"/>
                          </w:divBdr>
                        </w:div>
                        <w:div w:id="614217704">
                          <w:marLeft w:val="0"/>
                          <w:marRight w:val="0"/>
                          <w:marTop w:val="0"/>
                          <w:marBottom w:val="0"/>
                          <w:divBdr>
                            <w:top w:val="none" w:sz="0" w:space="0" w:color="auto"/>
                            <w:left w:val="none" w:sz="0" w:space="0" w:color="auto"/>
                            <w:bottom w:val="none" w:sz="0" w:space="0" w:color="auto"/>
                            <w:right w:val="none" w:sz="0" w:space="0" w:color="auto"/>
                          </w:divBdr>
                        </w:div>
                        <w:div w:id="1398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52475">
      <w:bodyDiv w:val="1"/>
      <w:marLeft w:val="0"/>
      <w:marRight w:val="0"/>
      <w:marTop w:val="0"/>
      <w:marBottom w:val="0"/>
      <w:divBdr>
        <w:top w:val="none" w:sz="0" w:space="0" w:color="auto"/>
        <w:left w:val="none" w:sz="0" w:space="0" w:color="auto"/>
        <w:bottom w:val="none" w:sz="0" w:space="0" w:color="auto"/>
        <w:right w:val="none" w:sz="0" w:space="0" w:color="auto"/>
      </w:divBdr>
    </w:div>
    <w:div w:id="20819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3670</Words>
  <Characters>17531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Annex “A”</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Ruth</dc:creator>
  <cp:keywords/>
  <dc:description/>
  <cp:lastModifiedBy>Mansfield, Joanne</cp:lastModifiedBy>
  <cp:revision>4</cp:revision>
  <cp:lastPrinted>2013-05-29T08:46:00Z</cp:lastPrinted>
  <dcterms:created xsi:type="dcterms:W3CDTF">2020-01-31T08:51:00Z</dcterms:created>
  <dcterms:modified xsi:type="dcterms:W3CDTF">2020-02-04T10:31:00Z</dcterms:modified>
</cp:coreProperties>
</file>